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24B7" w14:textId="37A67105" w:rsidR="00C11E71" w:rsidRDefault="00C11E71"/>
    <w:p w14:paraId="1F7320DA" w14:textId="7C56A59E" w:rsidR="00D456A6" w:rsidRDefault="00505952" w:rsidP="00D456A6">
      <w:pPr>
        <w:jc w:val="center"/>
        <w:rPr>
          <w:lang w:val="en-US"/>
        </w:rPr>
      </w:pPr>
      <w:r>
        <w:rPr>
          <w:noProof/>
        </w:rPr>
        <w:drawing>
          <wp:inline distT="0" distB="0" distL="0" distR="0" wp14:anchorId="767F5FB1" wp14:editId="2B1F616D">
            <wp:extent cx="542925" cy="666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EC010A8" w14:textId="77777777" w:rsidR="00D456A6" w:rsidRDefault="00D456A6" w:rsidP="00D456A6">
      <w:pPr>
        <w:jc w:val="center"/>
        <w:rPr>
          <w:b/>
          <w:bCs/>
          <w:lang w:val="en-US"/>
        </w:rPr>
      </w:pPr>
    </w:p>
    <w:p w14:paraId="6C756E87" w14:textId="77777777" w:rsidR="008B3D4A" w:rsidRDefault="008B3D4A" w:rsidP="008B3D4A">
      <w:pPr>
        <w:jc w:val="center"/>
        <w:rPr>
          <w:b/>
        </w:rPr>
      </w:pPr>
      <w:r>
        <w:rPr>
          <w:b/>
          <w:lang w:val="en-US"/>
        </w:rPr>
        <w:t xml:space="preserve">JURBARKO RAJONO </w:t>
      </w:r>
      <w:r>
        <w:rPr>
          <w:b/>
        </w:rPr>
        <w:t>SAVIVALDYBĖS MERAS</w:t>
      </w:r>
    </w:p>
    <w:p w14:paraId="330230A2" w14:textId="77777777" w:rsidR="00D456A6" w:rsidRDefault="00D456A6" w:rsidP="00D456A6">
      <w:pPr>
        <w:rPr>
          <w:lang w:val="en-US"/>
        </w:rPr>
      </w:pPr>
    </w:p>
    <w:p w14:paraId="76107C9B" w14:textId="77777777" w:rsidR="00D456A6" w:rsidRDefault="00D456A6"/>
    <w:p w14:paraId="73395E18" w14:textId="77777777" w:rsidR="00D4313A" w:rsidRDefault="00D4313A" w:rsidP="00D4313A"/>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4"/>
      </w:tblGrid>
      <w:tr w:rsidR="00D4313A" w14:paraId="582D3874" w14:textId="77777777" w:rsidTr="00006152">
        <w:trPr>
          <w:cantSplit/>
        </w:trPr>
        <w:tc>
          <w:tcPr>
            <w:tcW w:w="9654" w:type="dxa"/>
            <w:tcBorders>
              <w:top w:val="nil"/>
              <w:left w:val="nil"/>
              <w:bottom w:val="nil"/>
              <w:right w:val="nil"/>
            </w:tcBorders>
          </w:tcPr>
          <w:p w14:paraId="7ADBAA9D" w14:textId="77777777" w:rsidR="00D4313A" w:rsidRDefault="00D4313A" w:rsidP="00006152">
            <w:pPr>
              <w:pStyle w:val="Antrat1"/>
              <w:rPr>
                <w:caps/>
                <w:szCs w:val="24"/>
                <w:lang w:val="lt-LT"/>
              </w:rPr>
            </w:pPr>
            <w:r>
              <w:rPr>
                <w:caps/>
                <w:szCs w:val="24"/>
                <w:lang w:val="lt-LT"/>
              </w:rPr>
              <w:t>POTVARKIS</w:t>
            </w:r>
          </w:p>
        </w:tc>
      </w:tr>
      <w:tr w:rsidR="00D4313A" w:rsidRPr="00D4313A" w14:paraId="350E8E43" w14:textId="77777777" w:rsidTr="00006152">
        <w:trPr>
          <w:cantSplit/>
        </w:trPr>
        <w:tc>
          <w:tcPr>
            <w:tcW w:w="9654" w:type="dxa"/>
            <w:tcBorders>
              <w:top w:val="nil"/>
              <w:left w:val="nil"/>
              <w:bottom w:val="nil"/>
              <w:right w:val="nil"/>
            </w:tcBorders>
          </w:tcPr>
          <w:p w14:paraId="59DB97E0" w14:textId="50FA9BD5" w:rsidR="00D4313A" w:rsidRPr="00D4313A" w:rsidRDefault="00D4313A" w:rsidP="00006152">
            <w:pPr>
              <w:jc w:val="center"/>
              <w:rPr>
                <w:b/>
              </w:rPr>
            </w:pPr>
            <w:r w:rsidRPr="00D4313A">
              <w:rPr>
                <w:b/>
              </w:rPr>
              <w:t>DĖL JURBARKO RAJONO SAVIVALDYBĖS SIEKIAMŲ TIKSLŲ IR KELIAMŲ LŪKESČIŲ</w:t>
            </w:r>
            <w:r w:rsidRPr="00D4313A">
              <w:rPr>
                <w:b/>
                <w:spacing w:val="-7"/>
              </w:rPr>
              <w:t xml:space="preserve"> </w:t>
            </w:r>
            <w:r w:rsidRPr="00D4313A">
              <w:rPr>
                <w:b/>
                <w:spacing w:val="-8"/>
              </w:rPr>
              <w:t xml:space="preserve"> UŽDARAJAI </w:t>
            </w:r>
            <w:r w:rsidRPr="00D4313A">
              <w:rPr>
                <w:b/>
              </w:rPr>
              <w:t>AKCINEI</w:t>
            </w:r>
            <w:r w:rsidRPr="00D4313A">
              <w:rPr>
                <w:b/>
                <w:spacing w:val="-7"/>
              </w:rPr>
              <w:t xml:space="preserve"> </w:t>
            </w:r>
            <w:r w:rsidRPr="00D4313A">
              <w:rPr>
                <w:b/>
                <w:spacing w:val="-2"/>
              </w:rPr>
              <w:t xml:space="preserve">BENDROVEI </w:t>
            </w:r>
            <w:r w:rsidRPr="00D4313A">
              <w:rPr>
                <w:b/>
              </w:rPr>
              <w:t xml:space="preserve">„JURBARKO </w:t>
            </w:r>
            <w:r w:rsidR="009D2DCB">
              <w:rPr>
                <w:b/>
              </w:rPr>
              <w:t>KOMUNALININKAS</w:t>
            </w:r>
            <w:r w:rsidRPr="00D4313A">
              <w:rPr>
                <w:b/>
                <w:spacing w:val="-2"/>
              </w:rPr>
              <w:t>“               2024–2027 M.</w:t>
            </w:r>
          </w:p>
          <w:p w14:paraId="585E4F21" w14:textId="77777777" w:rsidR="00D4313A" w:rsidRPr="00D4313A" w:rsidRDefault="00D4313A" w:rsidP="00006152">
            <w:pPr>
              <w:pStyle w:val="Antrats"/>
              <w:tabs>
                <w:tab w:val="clear" w:pos="4153"/>
                <w:tab w:val="clear" w:pos="8306"/>
              </w:tabs>
              <w:jc w:val="center"/>
              <w:rPr>
                <w:b/>
                <w:caps/>
              </w:rPr>
            </w:pPr>
          </w:p>
        </w:tc>
      </w:tr>
      <w:tr w:rsidR="00D4313A" w:rsidRPr="00D4313A" w14:paraId="32ADDACE" w14:textId="77777777" w:rsidTr="00006152">
        <w:trPr>
          <w:cantSplit/>
        </w:trPr>
        <w:tc>
          <w:tcPr>
            <w:tcW w:w="9654" w:type="dxa"/>
            <w:tcBorders>
              <w:top w:val="nil"/>
              <w:left w:val="nil"/>
              <w:bottom w:val="nil"/>
              <w:right w:val="nil"/>
            </w:tcBorders>
          </w:tcPr>
          <w:p w14:paraId="0A74820D" w14:textId="77777777" w:rsidR="00D4313A" w:rsidRPr="00D4313A" w:rsidRDefault="00D4313A" w:rsidP="00006152">
            <w:pPr>
              <w:pStyle w:val="Antrats"/>
              <w:tabs>
                <w:tab w:val="clear" w:pos="4153"/>
                <w:tab w:val="clear" w:pos="8306"/>
              </w:tabs>
              <w:jc w:val="center"/>
              <w:rPr>
                <w:b/>
                <w:caps/>
              </w:rPr>
            </w:pPr>
          </w:p>
        </w:tc>
      </w:tr>
      <w:tr w:rsidR="00D4313A" w:rsidRPr="00D4313A" w14:paraId="401E73CA" w14:textId="77777777" w:rsidTr="00006152">
        <w:trPr>
          <w:cantSplit/>
        </w:trPr>
        <w:tc>
          <w:tcPr>
            <w:tcW w:w="9654" w:type="dxa"/>
            <w:tcBorders>
              <w:top w:val="nil"/>
              <w:left w:val="nil"/>
              <w:bottom w:val="nil"/>
              <w:right w:val="nil"/>
            </w:tcBorders>
          </w:tcPr>
          <w:p w14:paraId="52AFDF83" w14:textId="46C08D76" w:rsidR="00D4313A" w:rsidRPr="00D4313A" w:rsidRDefault="00D4313A" w:rsidP="00006152">
            <w:pPr>
              <w:pStyle w:val="Antrats"/>
              <w:tabs>
                <w:tab w:val="clear" w:pos="4153"/>
                <w:tab w:val="clear" w:pos="8306"/>
              </w:tabs>
              <w:jc w:val="center"/>
              <w:rPr>
                <w:b/>
                <w:caps/>
              </w:rPr>
            </w:pPr>
            <w:r w:rsidRPr="00D4313A">
              <w:t>2024-04-</w:t>
            </w:r>
            <w:r w:rsidR="000F0E41">
              <w:t>18</w:t>
            </w:r>
            <w:r w:rsidRPr="00D4313A">
              <w:t xml:space="preserve">         d. Nr. V3-</w:t>
            </w:r>
            <w:r w:rsidR="000F0E41">
              <w:t>193</w:t>
            </w:r>
          </w:p>
        </w:tc>
      </w:tr>
      <w:tr w:rsidR="00D4313A" w:rsidRPr="00D4313A" w14:paraId="00204AC5" w14:textId="77777777" w:rsidTr="00006152">
        <w:trPr>
          <w:cantSplit/>
        </w:trPr>
        <w:tc>
          <w:tcPr>
            <w:tcW w:w="9654" w:type="dxa"/>
            <w:tcBorders>
              <w:top w:val="nil"/>
              <w:left w:val="nil"/>
              <w:bottom w:val="nil"/>
              <w:right w:val="nil"/>
            </w:tcBorders>
          </w:tcPr>
          <w:p w14:paraId="6B4CE5FF" w14:textId="77777777" w:rsidR="00D4313A" w:rsidRPr="00D4313A" w:rsidRDefault="00D4313A" w:rsidP="00006152">
            <w:pPr>
              <w:jc w:val="center"/>
            </w:pPr>
            <w:r w:rsidRPr="00D4313A">
              <w:t>Jurbarkas</w:t>
            </w:r>
          </w:p>
        </w:tc>
      </w:tr>
    </w:tbl>
    <w:p w14:paraId="71E12707" w14:textId="77777777" w:rsidR="00D4313A" w:rsidRPr="00D4313A" w:rsidRDefault="00D4313A" w:rsidP="00D4313A"/>
    <w:p w14:paraId="65A331FA" w14:textId="77777777" w:rsidR="00D4313A" w:rsidRPr="00D4313A" w:rsidRDefault="00D4313A" w:rsidP="00D4313A">
      <w:pPr>
        <w:rPr>
          <w:lang w:val="en-US"/>
        </w:rPr>
      </w:pPr>
    </w:p>
    <w:p w14:paraId="40C12467" w14:textId="77777777" w:rsidR="00D4313A" w:rsidRPr="00D4313A" w:rsidRDefault="00D4313A" w:rsidP="00D4313A">
      <w:pPr>
        <w:ind w:firstLine="567"/>
        <w:jc w:val="both"/>
      </w:pPr>
      <w:bookmarkStart w:id="0" w:name="_Hlk27053627"/>
      <w:r w:rsidRPr="00D4313A">
        <w:t>Vadovaudamasis Lietuvos Respublikos vietos savivaldos įstatymo 27 straipsnio 2 dalies 9 punktu, Savivaldybių turtinių ir neturtinių teisių įgyvendinimo savivaldybių valdomose įmonėse tvarkos aprašo, patvirtinto Lietuvos Respublikos Vyriausybės 2007 m. birželio 6 d. nutarimu Nr. 567 „Dėl valstybės ir savivaldybių turtinių ir neturtinių teisių įgyvendinimo akcinėse bendrovėse ir uždarosiose akcinėse bendrovėse“, 8.1 papunkčiu, Jurbarko rajono savivaldybės valdomų savivaldybės įmonių ir kontroliuojamų uždarųjų akcinių bendrovių pasiektų veiklos tikslų vertinimo tvarkos aprašu, patvirtintu Jurbarko rajono savivaldybės tarybos 2018 m. gegužės 30 d. sprendimu Nr. T2-162 „Dėl Jurbarko rajono savivaldybės valdomų savivaldybės įmonių ir kontroliuojamų uždarųjų akcinių bendrovių pasiektų veiklos tikslų vertinimo tvarkos aprašo patvirtinimo“,</w:t>
      </w:r>
    </w:p>
    <w:p w14:paraId="4C9E626D" w14:textId="2B422A64" w:rsidR="00D4313A" w:rsidRPr="00D4313A" w:rsidRDefault="00D4313A" w:rsidP="00D4313A">
      <w:pPr>
        <w:ind w:firstLine="567"/>
        <w:jc w:val="both"/>
      </w:pPr>
      <w:r w:rsidRPr="00D4313A">
        <w:t xml:space="preserve">t v i r t i n u Raštą dėl Jurbarko rajono savivaldybės siekiamų tikslų ir keliamų lūkesčių uždarajai akcinei bendrovei „Jurbarko </w:t>
      </w:r>
      <w:r w:rsidR="009D2DCB">
        <w:t>komunalininkas</w:t>
      </w:r>
      <w:r w:rsidRPr="00D4313A">
        <w:t>“ 2024–2027 m. (pridedama).</w:t>
      </w:r>
    </w:p>
    <w:bookmarkEnd w:id="0"/>
    <w:p w14:paraId="7332D5B9" w14:textId="77777777" w:rsidR="00D4313A" w:rsidRPr="00D4313A" w:rsidRDefault="00D4313A" w:rsidP="00D4313A">
      <w:pPr>
        <w:ind w:firstLine="567"/>
        <w:jc w:val="both"/>
      </w:pPr>
      <w:r w:rsidRPr="00D4313A">
        <w:t>Šis potvarkis gali būti skundžiamas Lietuvos Respublikos administracinių bylų teisenos įstatymo nustatyta tvarka.</w:t>
      </w:r>
    </w:p>
    <w:p w14:paraId="003E0A27" w14:textId="77777777" w:rsidR="00D4313A" w:rsidRDefault="00D4313A" w:rsidP="00D4313A">
      <w:pPr>
        <w:jc w:val="both"/>
      </w:pPr>
    </w:p>
    <w:p w14:paraId="2E8009FB" w14:textId="77777777" w:rsidR="00C11E71" w:rsidRDefault="00C11E71">
      <w:pPr>
        <w:jc w:val="both"/>
      </w:pPr>
    </w:p>
    <w:p w14:paraId="010B9C08" w14:textId="77777777" w:rsidR="00C11E71" w:rsidRDefault="00C11E71">
      <w:pPr>
        <w:jc w:val="both"/>
      </w:pPr>
    </w:p>
    <w:p w14:paraId="56B9A83D" w14:textId="77777777" w:rsidR="00163B4B" w:rsidRDefault="00163B4B">
      <w:pPr>
        <w:jc w:val="both"/>
      </w:pPr>
    </w:p>
    <w:p w14:paraId="356D9B13" w14:textId="77777777" w:rsidR="00C11E71" w:rsidRDefault="00C11E71">
      <w:pPr>
        <w:jc w:val="both"/>
      </w:pPr>
    </w:p>
    <w:tbl>
      <w:tblPr>
        <w:tblW w:w="9639" w:type="dxa"/>
        <w:tblInd w:w="108" w:type="dxa"/>
        <w:tblLook w:val="0000" w:firstRow="0" w:lastRow="0" w:firstColumn="0" w:lastColumn="0" w:noHBand="0" w:noVBand="0"/>
      </w:tblPr>
      <w:tblGrid>
        <w:gridCol w:w="4410"/>
        <w:gridCol w:w="5229"/>
      </w:tblGrid>
      <w:tr w:rsidR="00C11E71" w14:paraId="3ABFCB40" w14:textId="77777777" w:rsidTr="008741CD">
        <w:trPr>
          <w:trHeight w:val="180"/>
        </w:trPr>
        <w:tc>
          <w:tcPr>
            <w:tcW w:w="4410" w:type="dxa"/>
          </w:tcPr>
          <w:p w14:paraId="48E2FC46" w14:textId="3F15799E" w:rsidR="00C11E71" w:rsidRDefault="00163B4B">
            <w:r>
              <w:t>Savivaldybės meras</w:t>
            </w:r>
          </w:p>
        </w:tc>
        <w:tc>
          <w:tcPr>
            <w:tcW w:w="5229" w:type="dxa"/>
          </w:tcPr>
          <w:p w14:paraId="46F4DC9A" w14:textId="1F3B68E0" w:rsidR="00C11E71" w:rsidRDefault="00163B4B" w:rsidP="00163B4B">
            <w:pPr>
              <w:jc w:val="center"/>
            </w:pPr>
            <w:r>
              <w:t>Skirmantas Mockevičius</w:t>
            </w:r>
          </w:p>
        </w:tc>
      </w:tr>
    </w:tbl>
    <w:p w14:paraId="6AE51EC7" w14:textId="77777777" w:rsidR="00C11E71" w:rsidRDefault="00C11E71">
      <w:pPr>
        <w:jc w:val="both"/>
      </w:pPr>
    </w:p>
    <w:p w14:paraId="72DAB1E6" w14:textId="77777777" w:rsidR="00C11E71" w:rsidRDefault="00E60B8A">
      <w:pPr>
        <w:jc w:val="both"/>
      </w:pPr>
      <w:r>
        <w:tab/>
      </w:r>
      <w:r>
        <w:tab/>
      </w:r>
      <w:r>
        <w:tab/>
      </w:r>
      <w:r>
        <w:tab/>
      </w:r>
      <w:r>
        <w:tab/>
      </w:r>
      <w:r>
        <w:tab/>
      </w:r>
      <w:r>
        <w:tab/>
      </w:r>
    </w:p>
    <w:p w14:paraId="4AE7BD44" w14:textId="77777777" w:rsidR="00C11E71" w:rsidRDefault="00C11E71"/>
    <w:p w14:paraId="4550C600" w14:textId="77777777" w:rsidR="00C11E71" w:rsidRDefault="00C11E71"/>
    <w:p w14:paraId="46C8B901" w14:textId="77777777" w:rsidR="00C11E71" w:rsidRDefault="00C11E71"/>
    <w:p w14:paraId="1D6E2E63" w14:textId="77777777" w:rsidR="00C11E71" w:rsidRDefault="00C11E71"/>
    <w:p w14:paraId="26F64955" w14:textId="77777777" w:rsidR="00C11E71" w:rsidRDefault="00C11E71"/>
    <w:p w14:paraId="20A0632B" w14:textId="77777777" w:rsidR="00C11E71" w:rsidRDefault="00C11E71"/>
    <w:p w14:paraId="625FE36B" w14:textId="77777777" w:rsidR="00DC1795" w:rsidRDefault="00DC1795"/>
    <w:p w14:paraId="44091B93" w14:textId="77777777" w:rsidR="00C11E71" w:rsidRDefault="00E60B8A">
      <w:r>
        <w:t>Parengė</w:t>
      </w:r>
    </w:p>
    <w:p w14:paraId="6A742C44" w14:textId="28539C76" w:rsidR="00C11E71" w:rsidRDefault="00163B4B">
      <w:pPr>
        <w:pStyle w:val="Antrats"/>
        <w:tabs>
          <w:tab w:val="clear" w:pos="4153"/>
          <w:tab w:val="clear" w:pos="8306"/>
        </w:tabs>
        <w:rPr>
          <w:lang w:eastAsia="de-DE"/>
        </w:rPr>
      </w:pPr>
      <w:r>
        <w:rPr>
          <w:lang w:eastAsia="de-DE"/>
        </w:rPr>
        <w:t xml:space="preserve">Romanas </w:t>
      </w:r>
      <w:proofErr w:type="spellStart"/>
      <w:r>
        <w:rPr>
          <w:lang w:eastAsia="de-DE"/>
        </w:rPr>
        <w:t>Semaška</w:t>
      </w:r>
      <w:proofErr w:type="spellEnd"/>
    </w:p>
    <w:p w14:paraId="0F4C6A87" w14:textId="321BE6AA" w:rsidR="008741CD" w:rsidRDefault="00DC1795">
      <w:pPr>
        <w:pStyle w:val="Antrats"/>
        <w:tabs>
          <w:tab w:val="clear" w:pos="4153"/>
          <w:tab w:val="clear" w:pos="8306"/>
        </w:tabs>
      </w:pPr>
      <w:r>
        <w:t>2024-0</w:t>
      </w:r>
      <w:r w:rsidR="001F2240">
        <w:t>4</w:t>
      </w:r>
      <w:r>
        <w:t>-</w:t>
      </w:r>
    </w:p>
    <w:p w14:paraId="019F7FCF" w14:textId="77777777" w:rsidR="00B7682B" w:rsidRDefault="008741CD" w:rsidP="00B7682B">
      <w:pPr>
        <w:widowControl w:val="0"/>
        <w:tabs>
          <w:tab w:val="left" w:pos="4536"/>
        </w:tabs>
        <w:ind w:left="4820"/>
      </w:pPr>
      <w:r>
        <w:br w:type="page"/>
      </w:r>
      <w:bookmarkStart w:id="1" w:name="_Hlk27053676"/>
      <w:r w:rsidR="00B7682B">
        <w:lastRenderedPageBreak/>
        <w:t>PATVIRTINTA</w:t>
      </w:r>
    </w:p>
    <w:p w14:paraId="5EF6D59B" w14:textId="5FFD51DB" w:rsidR="008741CD" w:rsidRDefault="008741CD" w:rsidP="000E23D7">
      <w:pPr>
        <w:widowControl w:val="0"/>
        <w:tabs>
          <w:tab w:val="left" w:pos="4536"/>
        </w:tabs>
        <w:ind w:left="4820"/>
      </w:pPr>
      <w:r>
        <w:t xml:space="preserve">Jurbarko rajono savivaldybės </w:t>
      </w:r>
      <w:r w:rsidR="00163B4B">
        <w:t>mero</w:t>
      </w:r>
    </w:p>
    <w:p w14:paraId="3E6D77FF" w14:textId="463E0428" w:rsidR="008741CD" w:rsidRPr="00314C6D" w:rsidRDefault="00163B4B" w:rsidP="000E23D7">
      <w:pPr>
        <w:widowControl w:val="0"/>
        <w:tabs>
          <w:tab w:val="left" w:pos="4536"/>
        </w:tabs>
        <w:ind w:left="4820"/>
        <w:rPr>
          <w:highlight w:val="yellow"/>
        </w:rPr>
      </w:pPr>
      <w:r>
        <w:t xml:space="preserve">2024 m.      </w:t>
      </w:r>
      <w:r w:rsidR="00F76FBF">
        <w:t xml:space="preserve">         </w:t>
      </w:r>
      <w:r>
        <w:t xml:space="preserve"> d.</w:t>
      </w:r>
      <w:r w:rsidR="000E23D7">
        <w:t xml:space="preserve"> </w:t>
      </w:r>
      <w:r>
        <w:t>potvarkiu</w:t>
      </w:r>
      <w:r w:rsidR="008741CD" w:rsidRPr="000E23D7">
        <w:t xml:space="preserve"> Nr. </w:t>
      </w:r>
      <w:r>
        <w:t>V3-</w:t>
      </w:r>
    </w:p>
    <w:bookmarkEnd w:id="1"/>
    <w:p w14:paraId="08A14B08" w14:textId="77777777" w:rsidR="008741CD" w:rsidRDefault="008741CD" w:rsidP="008741CD">
      <w:pPr>
        <w:widowControl w:val="0"/>
      </w:pPr>
    </w:p>
    <w:p w14:paraId="7544941D" w14:textId="77777777" w:rsidR="00F0140E" w:rsidRDefault="00F0140E" w:rsidP="00F0140E">
      <w:pPr>
        <w:ind w:left="59" w:right="60"/>
        <w:jc w:val="center"/>
        <w:rPr>
          <w:b/>
        </w:rPr>
      </w:pPr>
    </w:p>
    <w:p w14:paraId="7D13225F" w14:textId="77777777" w:rsidR="00B038E5" w:rsidRDefault="00B038E5" w:rsidP="00F0140E">
      <w:pPr>
        <w:ind w:left="59" w:right="60"/>
        <w:jc w:val="center"/>
        <w:rPr>
          <w:b/>
        </w:rPr>
      </w:pPr>
    </w:p>
    <w:p w14:paraId="32ACE9DD" w14:textId="77777777" w:rsidR="00B038E5" w:rsidRDefault="00B038E5" w:rsidP="00F0140E">
      <w:pPr>
        <w:ind w:left="59" w:right="60"/>
        <w:jc w:val="center"/>
        <w:rPr>
          <w:b/>
        </w:rPr>
      </w:pPr>
    </w:p>
    <w:p w14:paraId="74B66DB9" w14:textId="6D1C6466" w:rsidR="00F0140E" w:rsidRDefault="00F0140E" w:rsidP="00F0140E">
      <w:pPr>
        <w:ind w:left="59" w:right="60"/>
        <w:jc w:val="center"/>
        <w:rPr>
          <w:b/>
        </w:rPr>
      </w:pPr>
      <w:r>
        <w:rPr>
          <w:b/>
        </w:rPr>
        <w:t>RAŠTAS</w:t>
      </w:r>
    </w:p>
    <w:p w14:paraId="159C4E84" w14:textId="2D28A5FA" w:rsidR="00F0140E" w:rsidRPr="00A4664B" w:rsidRDefault="00F0140E" w:rsidP="00F0140E">
      <w:pPr>
        <w:ind w:left="59" w:right="60"/>
        <w:jc w:val="center"/>
        <w:rPr>
          <w:b/>
        </w:rPr>
      </w:pPr>
      <w:r w:rsidRPr="00A4664B">
        <w:rPr>
          <w:b/>
        </w:rPr>
        <w:t xml:space="preserve">DĖL </w:t>
      </w:r>
      <w:r w:rsidR="00186F8D" w:rsidRPr="00186F8D">
        <w:rPr>
          <w:b/>
        </w:rPr>
        <w:t>JURBARKO RAJONO SAVIVALDYBĖS</w:t>
      </w:r>
      <w:r w:rsidRPr="00A4664B">
        <w:rPr>
          <w:b/>
        </w:rPr>
        <w:t xml:space="preserve"> SIEKIAMŲ TIKSLŲ IR KELIAMŲ LŪKESČIŲ</w:t>
      </w:r>
      <w:r w:rsidRPr="00A4664B">
        <w:rPr>
          <w:b/>
          <w:spacing w:val="-7"/>
        </w:rPr>
        <w:t xml:space="preserve"> </w:t>
      </w:r>
      <w:r w:rsidRPr="00A4664B">
        <w:rPr>
          <w:b/>
          <w:spacing w:val="-8"/>
        </w:rPr>
        <w:t xml:space="preserve"> </w:t>
      </w:r>
      <w:r w:rsidR="00186F8D">
        <w:rPr>
          <w:b/>
          <w:spacing w:val="-8"/>
        </w:rPr>
        <w:t xml:space="preserve">UŽDARAJAI </w:t>
      </w:r>
      <w:r w:rsidRPr="00A4664B">
        <w:rPr>
          <w:b/>
        </w:rPr>
        <w:t>AKCINEI</w:t>
      </w:r>
      <w:r w:rsidRPr="00A4664B">
        <w:rPr>
          <w:b/>
          <w:spacing w:val="-7"/>
        </w:rPr>
        <w:t xml:space="preserve"> </w:t>
      </w:r>
      <w:r w:rsidRPr="00A4664B">
        <w:rPr>
          <w:b/>
          <w:spacing w:val="-2"/>
        </w:rPr>
        <w:t>BENDROVEI</w:t>
      </w:r>
      <w:r>
        <w:rPr>
          <w:b/>
          <w:spacing w:val="-2"/>
        </w:rPr>
        <w:t xml:space="preserve"> </w:t>
      </w:r>
      <w:r w:rsidRPr="00A4664B">
        <w:rPr>
          <w:b/>
        </w:rPr>
        <w:t xml:space="preserve">„JURBARKO </w:t>
      </w:r>
      <w:r w:rsidR="009D2DCB">
        <w:rPr>
          <w:b/>
        </w:rPr>
        <w:t>KOMUNALININKAS</w:t>
      </w:r>
      <w:r w:rsidRPr="00A4664B">
        <w:rPr>
          <w:b/>
          <w:spacing w:val="-2"/>
        </w:rPr>
        <w:t>“</w:t>
      </w:r>
      <w:r>
        <w:rPr>
          <w:b/>
          <w:spacing w:val="-2"/>
        </w:rPr>
        <w:t xml:space="preserve"> </w:t>
      </w:r>
      <w:r w:rsidR="00186F8D">
        <w:rPr>
          <w:b/>
          <w:spacing w:val="-2"/>
        </w:rPr>
        <w:t xml:space="preserve">          </w:t>
      </w:r>
      <w:r w:rsidR="00D4313A" w:rsidRPr="00D4313A">
        <w:rPr>
          <w:b/>
          <w:spacing w:val="-2"/>
        </w:rPr>
        <w:t xml:space="preserve">2024–2027 </w:t>
      </w:r>
      <w:r>
        <w:rPr>
          <w:b/>
          <w:spacing w:val="-2"/>
        </w:rPr>
        <w:t>M.</w:t>
      </w:r>
    </w:p>
    <w:p w14:paraId="287CDE9E" w14:textId="77777777" w:rsidR="00F0140E" w:rsidRDefault="00F0140E" w:rsidP="00F0140E">
      <w:pPr>
        <w:pStyle w:val="Pagrindinistekstas"/>
        <w:rPr>
          <w:b/>
        </w:rPr>
      </w:pPr>
    </w:p>
    <w:p w14:paraId="218028FB" w14:textId="77777777" w:rsidR="00F0140E" w:rsidRPr="00A4664B" w:rsidRDefault="00F0140E" w:rsidP="00F0140E">
      <w:pPr>
        <w:pStyle w:val="Pagrindinistekstas"/>
        <w:rPr>
          <w:b/>
        </w:rPr>
      </w:pPr>
    </w:p>
    <w:p w14:paraId="326C85FF" w14:textId="77777777" w:rsidR="00604082" w:rsidRPr="00604082" w:rsidRDefault="00604082" w:rsidP="00604082">
      <w:pPr>
        <w:pStyle w:val="Betarp"/>
        <w:jc w:val="center"/>
        <w:rPr>
          <w:rFonts w:asciiTheme="majorBidi" w:hAnsiTheme="majorBidi" w:cstheme="majorBidi"/>
          <w:b/>
          <w:bCs/>
          <w:color w:val="000000" w:themeColor="text1"/>
          <w:sz w:val="24"/>
          <w:szCs w:val="24"/>
        </w:rPr>
      </w:pPr>
      <w:r w:rsidRPr="00604082">
        <w:rPr>
          <w:rFonts w:asciiTheme="majorBidi" w:hAnsiTheme="majorBidi" w:cstheme="majorBidi"/>
          <w:b/>
          <w:bCs/>
          <w:color w:val="000000" w:themeColor="text1"/>
          <w:sz w:val="24"/>
          <w:szCs w:val="24"/>
        </w:rPr>
        <w:t>I. Tikslas</w:t>
      </w:r>
    </w:p>
    <w:p w14:paraId="085D4BE6" w14:textId="77777777" w:rsidR="00604082" w:rsidRPr="00604082" w:rsidRDefault="00604082" w:rsidP="00604082">
      <w:pPr>
        <w:pStyle w:val="Betarp"/>
        <w:jc w:val="center"/>
        <w:rPr>
          <w:rFonts w:asciiTheme="majorBidi" w:hAnsiTheme="majorBidi" w:cstheme="majorBidi"/>
          <w:b/>
          <w:bCs/>
          <w:color w:val="000000" w:themeColor="text1"/>
          <w:sz w:val="24"/>
          <w:szCs w:val="24"/>
        </w:rPr>
      </w:pPr>
    </w:p>
    <w:p w14:paraId="7E357C3C" w14:textId="77777777" w:rsidR="00604082" w:rsidRPr="00604082" w:rsidRDefault="00604082" w:rsidP="00604082">
      <w:pPr>
        <w:pStyle w:val="Betarp"/>
        <w:tabs>
          <w:tab w:val="left" w:pos="851"/>
        </w:tabs>
        <w:ind w:firstLine="567"/>
        <w:jc w:val="both"/>
        <w:rPr>
          <w:rFonts w:ascii="Times New Roman" w:hAnsi="Times New Roman"/>
          <w:color w:val="000000" w:themeColor="text1"/>
          <w:sz w:val="24"/>
          <w:szCs w:val="24"/>
        </w:rPr>
      </w:pPr>
      <w:r w:rsidRPr="00604082">
        <w:rPr>
          <w:rFonts w:ascii="Times New Roman" w:hAnsi="Times New Roman"/>
          <w:color w:val="000000" w:themeColor="text1"/>
          <w:sz w:val="24"/>
          <w:szCs w:val="24"/>
        </w:rPr>
        <w:t xml:space="preserve">Šiuo Raštu dėl Jurbarko rajono savivaldybės (toliau – Savivaldybė) siekiamų tikslų ir keliamų lūkesčių UAB „Jurbarko komunalininkas“ (toliau – Raštas) pateikiami Jurbarko rajono savivaldybės lūkesčiai dėl UAB „Jurbarko komunalininkas“ (toliau – Bendrovė) veiklos krypčių, keliamų tikslų ir veiklos principų 2024–2027 metų laikotarpiui. </w:t>
      </w:r>
    </w:p>
    <w:p w14:paraId="64EC0726" w14:textId="77777777" w:rsidR="00604082" w:rsidRPr="00604082" w:rsidRDefault="00604082" w:rsidP="00604082">
      <w:pPr>
        <w:pStyle w:val="Betarp"/>
        <w:tabs>
          <w:tab w:val="left" w:pos="851"/>
        </w:tabs>
        <w:ind w:firstLine="567"/>
        <w:jc w:val="both"/>
        <w:rPr>
          <w:rFonts w:ascii="Times New Roman" w:hAnsi="Times New Roman"/>
          <w:color w:val="000000" w:themeColor="text1"/>
          <w:sz w:val="24"/>
          <w:szCs w:val="24"/>
        </w:rPr>
      </w:pPr>
      <w:r w:rsidRPr="00604082">
        <w:rPr>
          <w:rFonts w:ascii="Times New Roman" w:hAnsi="Times New Roman"/>
          <w:color w:val="000000" w:themeColor="text1"/>
          <w:sz w:val="24"/>
          <w:szCs w:val="24"/>
        </w:rPr>
        <w:t xml:space="preserve">Raštas yra skirtas trumpojo ir vidutinio laikotarpio Savivaldybės lūkesčiams bei ilgojo laikotarpio Bendrovės vystymosi lūkesčių gairėms nustatyti, pagrindinėms ir kitoms veikloms įvardyti, esminiams veiklos vertinimo rodikliams, informacijos teikimo Savivaldybei tvarkai numatyti bei efektyviam Bendrovės ir Savivaldybės bendradarbiavimui užtikrinti. </w:t>
      </w:r>
    </w:p>
    <w:p w14:paraId="4DDB38A9" w14:textId="77777777" w:rsidR="00604082" w:rsidRPr="00604082" w:rsidRDefault="00604082" w:rsidP="00604082">
      <w:pPr>
        <w:pStyle w:val="Betarp"/>
        <w:tabs>
          <w:tab w:val="left" w:pos="851"/>
        </w:tabs>
        <w:ind w:firstLine="567"/>
        <w:jc w:val="both"/>
        <w:rPr>
          <w:rFonts w:ascii="Times New Roman" w:hAnsi="Times New Roman"/>
          <w:color w:val="000000" w:themeColor="text1"/>
          <w:sz w:val="24"/>
          <w:szCs w:val="24"/>
        </w:rPr>
      </w:pPr>
      <w:r w:rsidRPr="00604082">
        <w:rPr>
          <w:rFonts w:ascii="Times New Roman" w:hAnsi="Times New Roman"/>
          <w:color w:val="000000" w:themeColor="text1"/>
          <w:sz w:val="24"/>
          <w:szCs w:val="24"/>
        </w:rPr>
        <w:t>Rašto pagrindu turi būti rengiamas ir (ar) persvarstomas Bendrovės strateginis veiklos planas, nustatomi finansiniai ir nefinansiniai ilgalaikiai bei trumpalaikiai tikslai, atsižvelgiant į valstybės politiką komunalinių paslaugų srityje formuojančių teisės aktų, taip pat Lietuvos Respublikos teisės aktų, reglamentuojančių valstybės valdomų įmonių veiklą, nuostatas.</w:t>
      </w:r>
    </w:p>
    <w:p w14:paraId="6E198EE6" w14:textId="77777777" w:rsidR="00604082" w:rsidRPr="00604082" w:rsidRDefault="00604082" w:rsidP="00604082">
      <w:pPr>
        <w:pStyle w:val="Betarp"/>
        <w:tabs>
          <w:tab w:val="left" w:pos="851"/>
        </w:tabs>
        <w:ind w:firstLine="567"/>
        <w:jc w:val="both"/>
        <w:rPr>
          <w:rFonts w:ascii="Times New Roman" w:hAnsi="Times New Roman"/>
          <w:color w:val="000000" w:themeColor="text1"/>
          <w:sz w:val="24"/>
          <w:szCs w:val="24"/>
        </w:rPr>
      </w:pPr>
      <w:r w:rsidRPr="00604082">
        <w:rPr>
          <w:rFonts w:ascii="Times New Roman" w:hAnsi="Times New Roman"/>
          <w:color w:val="000000" w:themeColor="text1"/>
          <w:sz w:val="24"/>
          <w:szCs w:val="24"/>
        </w:rPr>
        <w:t>Raštu Savivaldybė nesiekia apriboti ar išplėsti Bendrovės ar jos valdymo organų teisių ar pareigų. Bendrovė ir jos valdymo organai visų pirma privalo vadovautis galiojančiais teisės aktais, įstatais ir kitais Bendrovės savininko priimtais sprendimais, gerąja įmonių valdymo praktika ir prisiimti atsakomybę už priimamus sprendimus. Įgyvendindami Rašte išsakytus Savivaldybės lūkesčius, Bendrovės valdymo organai privalo vadovautis protingumo, skaidrumo, efektyvumo, nešališkumo ir racionalaus turto valdymo principais.</w:t>
      </w:r>
    </w:p>
    <w:p w14:paraId="658BEFC9" w14:textId="77777777" w:rsidR="00604082" w:rsidRPr="00604082" w:rsidRDefault="00604082" w:rsidP="00604082">
      <w:pPr>
        <w:pStyle w:val="Betarp"/>
        <w:tabs>
          <w:tab w:val="left" w:pos="851"/>
        </w:tabs>
        <w:ind w:firstLine="567"/>
        <w:jc w:val="both"/>
        <w:rPr>
          <w:rFonts w:ascii="Times New Roman" w:hAnsi="Times New Roman"/>
          <w:color w:val="000000" w:themeColor="text1"/>
          <w:sz w:val="24"/>
          <w:szCs w:val="24"/>
        </w:rPr>
      </w:pPr>
    </w:p>
    <w:p w14:paraId="447AD0F4" w14:textId="77777777" w:rsidR="00604082" w:rsidRPr="00604082" w:rsidRDefault="00604082" w:rsidP="00604082">
      <w:pPr>
        <w:pStyle w:val="Betarp"/>
        <w:tabs>
          <w:tab w:val="left" w:pos="851"/>
        </w:tabs>
        <w:ind w:firstLine="567"/>
        <w:jc w:val="center"/>
        <w:rPr>
          <w:rFonts w:ascii="Times New Roman" w:hAnsi="Times New Roman"/>
          <w:b/>
          <w:bCs/>
          <w:color w:val="000000" w:themeColor="text1"/>
          <w:sz w:val="24"/>
          <w:szCs w:val="24"/>
        </w:rPr>
      </w:pPr>
      <w:bookmarkStart w:id="2" w:name="_Hlk164089956"/>
      <w:bookmarkStart w:id="3" w:name="_Hlk164242267"/>
      <w:r w:rsidRPr="00604082">
        <w:rPr>
          <w:rFonts w:ascii="Times New Roman" w:hAnsi="Times New Roman"/>
          <w:b/>
          <w:bCs/>
          <w:color w:val="000000" w:themeColor="text1"/>
          <w:sz w:val="24"/>
          <w:szCs w:val="24"/>
        </w:rPr>
        <w:t>II. Bendrovės paskirtis ir veiklos tikslai</w:t>
      </w:r>
    </w:p>
    <w:p w14:paraId="36AEFFCD" w14:textId="77777777" w:rsidR="00604082" w:rsidRPr="00604082" w:rsidRDefault="00604082" w:rsidP="00604082">
      <w:pPr>
        <w:pStyle w:val="Betarp"/>
        <w:tabs>
          <w:tab w:val="left" w:pos="851"/>
        </w:tabs>
        <w:ind w:firstLine="567"/>
        <w:jc w:val="both"/>
        <w:rPr>
          <w:rFonts w:ascii="Times New Roman" w:hAnsi="Times New Roman"/>
          <w:color w:val="000000" w:themeColor="text1"/>
          <w:sz w:val="24"/>
          <w:szCs w:val="24"/>
        </w:rPr>
      </w:pPr>
    </w:p>
    <w:bookmarkEnd w:id="2"/>
    <w:p w14:paraId="09B222CE" w14:textId="112E5229" w:rsidR="00F60C48" w:rsidRPr="00F60C48" w:rsidRDefault="004D1A67" w:rsidP="00F60C48">
      <w:pPr>
        <w:pStyle w:val="Betarp"/>
        <w:tabs>
          <w:tab w:val="left" w:pos="851"/>
        </w:tabs>
        <w:ind w:firstLine="567"/>
        <w:jc w:val="both"/>
        <w:rPr>
          <w:rFonts w:ascii="Times New Roman" w:hAnsi="Times New Roman"/>
          <w:color w:val="000000" w:themeColor="text1"/>
          <w:sz w:val="24"/>
          <w:szCs w:val="24"/>
        </w:rPr>
      </w:pPr>
      <w:r w:rsidRPr="004D1A67">
        <w:rPr>
          <w:rFonts w:ascii="Times New Roman" w:hAnsi="Times New Roman"/>
          <w:color w:val="000000" w:themeColor="text1"/>
          <w:sz w:val="24"/>
          <w:szCs w:val="24"/>
        </w:rPr>
        <w:t>Bendrovės veikla reikalinga Jurbarko miesto teritorijoje esančių želdynų tvarkymui ir kūrimui, viešųjų teritorijų ir kapinių priežiūrai, švaros viešosiose vietose užtikrinimui, benamių gyvūnų gaudymui, miesto viešųjų tualetų administravimui, vietinės reikšmės kelių, gatvių ir jų apšvietimo sistemų priežiūrai ir taisymui, daugiabučių namų atnaujinimo (modernizavimo) programos įgyvendinimui bei savivaldybės būsto fondo administravimui. Be to, Bendrovė yra vienintelis savivaldybėje veikiantis daugiabučių namų bendrojo naudojimo objektų administratorius.</w:t>
      </w:r>
    </w:p>
    <w:bookmarkEnd w:id="3"/>
    <w:p w14:paraId="4EEF908D" w14:textId="77777777" w:rsidR="00F60C48" w:rsidRPr="00604082" w:rsidRDefault="00F60C48" w:rsidP="00995E77">
      <w:pPr>
        <w:pStyle w:val="Betarp"/>
        <w:tabs>
          <w:tab w:val="left" w:pos="851"/>
        </w:tabs>
        <w:ind w:firstLine="567"/>
        <w:jc w:val="both"/>
        <w:rPr>
          <w:rFonts w:ascii="Times New Roman" w:hAnsi="Times New Roman"/>
          <w:color w:val="000000" w:themeColor="text1"/>
          <w:sz w:val="24"/>
          <w:szCs w:val="24"/>
        </w:rPr>
      </w:pPr>
    </w:p>
    <w:p w14:paraId="527064AF" w14:textId="77777777" w:rsidR="00604082" w:rsidRPr="00604082" w:rsidRDefault="00604082" w:rsidP="00604082">
      <w:pPr>
        <w:pStyle w:val="Betarp"/>
        <w:tabs>
          <w:tab w:val="left" w:pos="851"/>
        </w:tabs>
        <w:ind w:firstLine="567"/>
        <w:jc w:val="both"/>
        <w:rPr>
          <w:rFonts w:ascii="Times New Roman" w:hAnsi="Times New Roman"/>
          <w:color w:val="000000" w:themeColor="text1"/>
          <w:sz w:val="24"/>
          <w:szCs w:val="24"/>
        </w:rPr>
      </w:pPr>
    </w:p>
    <w:p w14:paraId="3CD37666" w14:textId="77777777" w:rsidR="00604082" w:rsidRPr="00604082" w:rsidRDefault="00604082" w:rsidP="00604082">
      <w:pPr>
        <w:pStyle w:val="Pagrindinistekstas"/>
        <w:widowControl w:val="0"/>
        <w:autoSpaceDE w:val="0"/>
        <w:autoSpaceDN w:val="0"/>
        <w:ind w:left="1080"/>
        <w:jc w:val="center"/>
        <w:rPr>
          <w:b/>
          <w:bCs/>
          <w:color w:val="000000" w:themeColor="text1"/>
        </w:rPr>
      </w:pPr>
      <w:r w:rsidRPr="00604082">
        <w:rPr>
          <w:b/>
          <w:bCs/>
          <w:color w:val="000000" w:themeColor="text1"/>
        </w:rPr>
        <w:t>III. Bendrovei keliami lūkesčiai ir tikslai</w:t>
      </w:r>
    </w:p>
    <w:p w14:paraId="17720551" w14:textId="77777777" w:rsidR="00604082" w:rsidRPr="00604082" w:rsidRDefault="00604082" w:rsidP="00604082">
      <w:pPr>
        <w:pStyle w:val="Pagrindinistekstas"/>
        <w:ind w:left="1080"/>
        <w:rPr>
          <w:b/>
          <w:bCs/>
          <w:color w:val="000000" w:themeColor="text1"/>
        </w:rPr>
      </w:pPr>
    </w:p>
    <w:p w14:paraId="0C42BB3D" w14:textId="77777777" w:rsidR="00604082" w:rsidRPr="00604082" w:rsidRDefault="00604082" w:rsidP="00604082">
      <w:pPr>
        <w:pStyle w:val="Pagrindinistekstas"/>
        <w:ind w:firstLine="567"/>
        <w:rPr>
          <w:color w:val="000000" w:themeColor="text1"/>
        </w:rPr>
      </w:pPr>
      <w:r w:rsidRPr="00604082">
        <w:rPr>
          <w:b/>
          <w:bCs/>
          <w:color w:val="000000" w:themeColor="text1"/>
        </w:rPr>
        <w:t xml:space="preserve">Teikiamų paslaugų kokybės užtikrinimas. </w:t>
      </w:r>
      <w:r w:rsidRPr="00604082">
        <w:rPr>
          <w:color w:val="000000" w:themeColor="text1"/>
        </w:rPr>
        <w:t>Savivaldybė turi lūkestį, kad</w:t>
      </w:r>
      <w:r w:rsidRPr="00604082">
        <w:rPr>
          <w:b/>
          <w:bCs/>
          <w:color w:val="000000" w:themeColor="text1"/>
        </w:rPr>
        <w:t xml:space="preserve"> </w:t>
      </w:r>
      <w:r w:rsidRPr="00604082">
        <w:rPr>
          <w:color w:val="000000" w:themeColor="text1"/>
        </w:rPr>
        <w:t xml:space="preserve">Bendrovė užtikrins paslaugų gavėjams teisės aktų reikalavimus atitinkančias viešųjų erdvių priežiūros, daugiabučių gyvenamųjų namų bendrojo naudojimo patalpų administravimo, šilumos tiekimo paslaugas. Bendrovė užtikrins efektyvų eksploatuojamos technikos ir įrengimų darbą. Sieks, kad vykdant Bendrovės veiklą būtų įgyvendintos Jurbarko rajono savivaldybės 2016–2026 metų strateginiame </w:t>
      </w:r>
      <w:r w:rsidRPr="00604082">
        <w:rPr>
          <w:color w:val="000000" w:themeColor="text1"/>
        </w:rPr>
        <w:lastRenderedPageBreak/>
        <w:t>veiklos plane numatytos priemonės. Savivaldybė tikisi, kad Bendrovė užtikrins tinkamą ir efektyvų Bendrovei pavestą daugiabučių namų bendrojo naudojimo objektų administratoriaus funkciją, daugiabučių namų šildymo ir karšto vandens sistemų techninę priežiūrą, dės pastangas atnaujinti ir efektyvinti šilumos gamybos įrenginius.</w:t>
      </w:r>
    </w:p>
    <w:p w14:paraId="7715B938" w14:textId="77777777" w:rsidR="00604082" w:rsidRPr="003222BA" w:rsidRDefault="00604082" w:rsidP="00604082">
      <w:pPr>
        <w:pStyle w:val="Pagrindinistekstas"/>
        <w:ind w:firstLine="567"/>
        <w:rPr>
          <w:b/>
          <w:bCs/>
        </w:rPr>
      </w:pPr>
    </w:p>
    <w:p w14:paraId="176FA40A" w14:textId="77777777" w:rsidR="00604082" w:rsidRPr="003222BA" w:rsidRDefault="00604082" w:rsidP="00604082">
      <w:pPr>
        <w:pStyle w:val="Pagrindinistekstas"/>
        <w:ind w:firstLine="567"/>
      </w:pPr>
      <w:r w:rsidRPr="003222BA">
        <w:rPr>
          <w:b/>
          <w:bCs/>
        </w:rPr>
        <w:t>Klientų aptarnavimo gerinimas</w:t>
      </w:r>
      <w:r w:rsidRPr="003222BA">
        <w:t>. Savivaldybė tikisi, jog Bendrovė ir toliau didelį dėmesį skirs klientų aptarnavimo kokybei gerinti. Klientų aptarnavimas turėtų būti perkeliamas į elektroninę erdvę, plečiami klientų savitarnos portalo funkcionalumai, spartinamas aktualios informacijos pateikimas.</w:t>
      </w:r>
    </w:p>
    <w:p w14:paraId="30F4CF80" w14:textId="77777777" w:rsidR="00604082" w:rsidRPr="003222BA" w:rsidRDefault="00604082" w:rsidP="00604082">
      <w:pPr>
        <w:pStyle w:val="Pagrindinistekstas"/>
        <w:ind w:firstLine="567"/>
      </w:pPr>
      <w:r w:rsidRPr="003222BA">
        <w:t>Bendrovė, kartu su Savivaldybe, užtikrins tinkamą, efektyvų viešųjų paslaugų teikimą – optimizuoti paslaugų teikimo ir valdymo sąnaudas, siekiant veikti pelni</w:t>
      </w:r>
      <w:r>
        <w:t>n</w:t>
      </w:r>
      <w:r w:rsidRPr="003222BA">
        <w:t xml:space="preserve">gai ir teikti paslaugas mažiausiomis kainomis. </w:t>
      </w:r>
    </w:p>
    <w:p w14:paraId="3AC9405C" w14:textId="77777777" w:rsidR="00604082" w:rsidRPr="003222BA" w:rsidRDefault="00604082" w:rsidP="00604082">
      <w:pPr>
        <w:pStyle w:val="Pagrindinistekstas"/>
        <w:ind w:firstLine="567"/>
      </w:pPr>
    </w:p>
    <w:p w14:paraId="55B6E19D" w14:textId="77777777" w:rsidR="00604082" w:rsidRPr="00604082" w:rsidRDefault="00604082" w:rsidP="00604082">
      <w:pPr>
        <w:pStyle w:val="Pagrindinistekstas"/>
        <w:ind w:firstLine="567"/>
        <w:rPr>
          <w:color w:val="000000" w:themeColor="text1"/>
        </w:rPr>
      </w:pPr>
      <w:r w:rsidRPr="003222BA">
        <w:rPr>
          <w:b/>
          <w:bCs/>
        </w:rPr>
        <w:t>Naujų klientų plėtra.</w:t>
      </w:r>
      <w:r w:rsidRPr="003222BA">
        <w:t xml:space="preserve"> Bendrovė turėtų </w:t>
      </w:r>
      <w:r w:rsidRPr="00604082">
        <w:rPr>
          <w:color w:val="000000" w:themeColor="text1"/>
        </w:rPr>
        <w:t>išanalizuoti galimybes plėsti klientų ratą bei pradėti tiekti įvairesnes paslaugas ne tik Jurbarko mieste, bet ir visoje savivaldybėje.</w:t>
      </w:r>
    </w:p>
    <w:p w14:paraId="63FA15DB" w14:textId="77777777" w:rsidR="00604082" w:rsidRPr="003222BA" w:rsidRDefault="00604082" w:rsidP="00604082">
      <w:pPr>
        <w:pStyle w:val="Pagrindinistekstas"/>
        <w:ind w:firstLine="567"/>
      </w:pPr>
    </w:p>
    <w:p w14:paraId="0C2559E3" w14:textId="77777777" w:rsidR="00604082" w:rsidRPr="003222BA" w:rsidRDefault="00604082" w:rsidP="00604082">
      <w:pPr>
        <w:pStyle w:val="Pagrindinistekstas"/>
        <w:ind w:firstLine="567"/>
      </w:pPr>
      <w:r w:rsidRPr="003222BA">
        <w:rPr>
          <w:b/>
          <w:bCs/>
        </w:rPr>
        <w:t xml:space="preserve">Investicijų ir inovacijų vykdymas. </w:t>
      </w:r>
      <w:r w:rsidRPr="003222BA">
        <w:t>Bendrovė aktyviai prisidės prie savivaldybės infrastruktūros plėtros planavimo bei įgyvendinimo.  Bendrovė turi siekti maksimaliai pasinaudoti Europos struktūrinių fondų lėšomis bei kitais galimais finansavimo šaltiniais, siekiant atnaujinti technikos parką, šilumos gamybos įrenginius, taip mažinant savikainą,</w:t>
      </w:r>
      <w:r>
        <w:t xml:space="preserve"> </w:t>
      </w:r>
      <w:r w:rsidRPr="003222BA">
        <w:t>bet užtikrinant kokybę. Bendrovė užtikrins jos valdomo turto atnaujinimą bei nuolatos tobulins paslaugų teikimo procesus ir technologijas. Bendrovė turi prisidėti inovacijų skatinimo, įskaitant inovacijų paklausos kūrimą, ir užtikrinti, kad diegiamos naujausios technologijos ir modernūs darbo metodai atitiks valstybės inovacijų plėtros, skaitmeninimo ir žalumo prioritetus, pagerins tiesioginės veiklos efektyvumą, operatyvumą, bus sukuriama pridėtinė vertė Bendrovei ir jos klientams.</w:t>
      </w:r>
    </w:p>
    <w:p w14:paraId="0FF61F73" w14:textId="77777777" w:rsidR="00604082" w:rsidRPr="003222BA" w:rsidRDefault="00604082" w:rsidP="00604082">
      <w:pPr>
        <w:pStyle w:val="Pagrindinistekstas"/>
        <w:ind w:firstLine="567"/>
      </w:pPr>
    </w:p>
    <w:p w14:paraId="70214B47" w14:textId="77777777" w:rsidR="00604082" w:rsidRPr="003222BA" w:rsidRDefault="00604082" w:rsidP="00604082">
      <w:pPr>
        <w:pStyle w:val="Pagrindinistekstas"/>
        <w:ind w:firstLine="567"/>
      </w:pPr>
      <w:r w:rsidRPr="003222BA">
        <w:rPr>
          <w:b/>
          <w:bCs/>
        </w:rPr>
        <w:t>Komandos stiprinimas.</w:t>
      </w:r>
      <w:r w:rsidRPr="003222BA">
        <w:t xml:space="preserve"> Bendrovės vadovybė turėtų siekti, kad būtų stiprinama komanda, pritraukiami jauni, kvalifikuoti darbuotojai, taip pat skiriama dėmesio komandos mokymui(</w:t>
      </w:r>
      <w:proofErr w:type="spellStart"/>
      <w:r w:rsidRPr="003222BA">
        <w:t>si</w:t>
      </w:r>
      <w:proofErr w:type="spellEnd"/>
      <w:r w:rsidRPr="003222BA">
        <w:t>), sutelkimui ir motyvavimui bendrų tikslų siekimui. Tai pat Savivaldybė tikisi, kad Bendrovė stiprins bendradarbiavimą su kitomis Savivaldybės valdomomis įmonėmis, siekiant bendrų reikšmingų tikslų miestui ir rajonui.</w:t>
      </w:r>
    </w:p>
    <w:p w14:paraId="4851CE17" w14:textId="77777777" w:rsidR="00604082" w:rsidRPr="003222BA" w:rsidRDefault="00604082" w:rsidP="00604082">
      <w:pPr>
        <w:pStyle w:val="Pagrindinistekstas"/>
        <w:ind w:firstLine="567"/>
      </w:pPr>
    </w:p>
    <w:p w14:paraId="055C2665" w14:textId="77777777" w:rsidR="00604082" w:rsidRPr="003222BA" w:rsidRDefault="00604082" w:rsidP="00604082">
      <w:pPr>
        <w:pStyle w:val="Default"/>
        <w:tabs>
          <w:tab w:val="left" w:pos="709"/>
          <w:tab w:val="left" w:pos="851"/>
        </w:tabs>
        <w:jc w:val="both"/>
        <w:rPr>
          <w:color w:val="auto"/>
        </w:rPr>
      </w:pPr>
      <w:r w:rsidRPr="003222BA">
        <w:rPr>
          <w:b/>
          <w:bCs/>
          <w:color w:val="auto"/>
        </w:rPr>
        <w:tab/>
        <w:t>Darbuotojų įsitraukimas</w:t>
      </w:r>
      <w:r w:rsidRPr="003222BA">
        <w:rPr>
          <w:color w:val="auto"/>
        </w:rPr>
        <w:t xml:space="preserve">. Bendrovė privalo vykdyti savo veiklą pagal aukščiausius skaidrumo, valdysenos, etikos ir socialinės atsakomybės standartus, taikyti modernius personalo įsitraukimo vertinimo metodus ir siekti darbuotojų įsitraukimo augimo. Bendrovėje turi būti palaikoma vertybėmis grįsta organizacinė kultūra, sudaromos sąlygos profesiniam augimui. Bendrovė turi diegti ir plėtoti darbuotojų vertybių, kompetencijų kaitos, motyvacijos ir atlygio sistemas, nuosekliai siekti, kad darbuotojams būtų mokamas jų darbą ir rinkos sąlygas atitinkantis atlygis, kurti patrauklią darbo aplinką, sudaryti sąlygas dirbti individualių poreikių turintiems žmonėms. </w:t>
      </w:r>
    </w:p>
    <w:p w14:paraId="3B39A298" w14:textId="77777777" w:rsidR="00604082" w:rsidRPr="003222BA" w:rsidRDefault="00604082" w:rsidP="00604082">
      <w:pPr>
        <w:pStyle w:val="Default"/>
        <w:tabs>
          <w:tab w:val="left" w:pos="709"/>
          <w:tab w:val="left" w:pos="851"/>
        </w:tabs>
        <w:ind w:firstLine="567"/>
        <w:jc w:val="both"/>
        <w:rPr>
          <w:color w:val="auto"/>
        </w:rPr>
      </w:pPr>
      <w:r w:rsidRPr="003222BA">
        <w:rPr>
          <w:color w:val="auto"/>
        </w:rPr>
        <w:t>Savivaldybė tikisi, kad valstybėje kilus ekstremaliosioms situacijoms ar kitoms nenumatytoms aplinkybėms, darančioms reikšmingą poveikį visuomenės gerovei ir saugumui, Bendrovė bus socialiai atsakinga ir ieškos galimybių prisidėti prie valstybės veiksmų kovodama su šių situacijų ir aplinkybių padariniais.</w:t>
      </w:r>
    </w:p>
    <w:p w14:paraId="2D1F7A03" w14:textId="77777777" w:rsidR="00604082" w:rsidRPr="003222BA" w:rsidRDefault="00604082" w:rsidP="00604082">
      <w:pPr>
        <w:pStyle w:val="Default"/>
        <w:tabs>
          <w:tab w:val="left" w:pos="709"/>
          <w:tab w:val="left" w:pos="851"/>
        </w:tabs>
        <w:ind w:firstLine="567"/>
        <w:jc w:val="both"/>
        <w:rPr>
          <w:color w:val="auto"/>
        </w:rPr>
      </w:pPr>
    </w:p>
    <w:p w14:paraId="2B9881EF" w14:textId="7AC08C2A" w:rsidR="00604082" w:rsidRPr="003222BA" w:rsidRDefault="00604082" w:rsidP="00604082">
      <w:pPr>
        <w:pStyle w:val="Default"/>
        <w:tabs>
          <w:tab w:val="left" w:pos="709"/>
          <w:tab w:val="left" w:pos="851"/>
        </w:tabs>
        <w:ind w:firstLine="567"/>
        <w:jc w:val="both"/>
        <w:rPr>
          <w:color w:val="auto"/>
        </w:rPr>
      </w:pPr>
      <w:r w:rsidRPr="003222BA">
        <w:rPr>
          <w:b/>
          <w:bCs/>
        </w:rPr>
        <w:t>Socialinė</w:t>
      </w:r>
      <w:r w:rsidRPr="003222BA">
        <w:rPr>
          <w:b/>
          <w:bCs/>
          <w:spacing w:val="-11"/>
        </w:rPr>
        <w:t xml:space="preserve"> </w:t>
      </w:r>
      <w:r w:rsidRPr="003222BA">
        <w:rPr>
          <w:b/>
          <w:bCs/>
        </w:rPr>
        <w:t>atsakomybė.</w:t>
      </w:r>
      <w:r w:rsidRPr="003222BA">
        <w:rPr>
          <w:spacing w:val="-2"/>
        </w:rPr>
        <w:t xml:space="preserve"> </w:t>
      </w:r>
      <w:r w:rsidRPr="003222BA">
        <w:t xml:space="preserve">Bendrovė į savo veiklą, strategiją bei santykius su suinteresuotomis šalimis turi integruoti Jungtinių Tautų darnaus vystymosi principus aplinkosauginiu, socialiniu ir ekonominiu aspektais. Bendrovė privalo užtikrinti technologinių </w:t>
      </w:r>
      <w:r w:rsidRPr="00604082">
        <w:rPr>
          <w:color w:val="000000" w:themeColor="text1"/>
        </w:rPr>
        <w:t>procesų (gamybinės veiklos) nepertraukiamumą</w:t>
      </w:r>
      <w:r w:rsidRPr="00604082">
        <w:rPr>
          <w:color w:val="000000" w:themeColor="text1"/>
          <w:spacing w:val="40"/>
        </w:rPr>
        <w:t xml:space="preserve"> </w:t>
      </w:r>
      <w:r w:rsidRPr="00604082">
        <w:rPr>
          <w:color w:val="000000" w:themeColor="text1"/>
        </w:rPr>
        <w:t xml:space="preserve">bei visų įrenginių veikimo patikimumą, o galimų jos sutrikimų pavojų ir poveikį aplinkai sumažinti iki minimumo. Bendrovės technologijos bei investicijos turi būti orientuotos ne tik į kokybę, bet ir ekologiją bei mažesnį energetinį poreikį, o šalutiniai produktai arba atliekos turėtų </w:t>
      </w:r>
      <w:r w:rsidRPr="00604082">
        <w:rPr>
          <w:color w:val="000000" w:themeColor="text1"/>
        </w:rPr>
        <w:lastRenderedPageBreak/>
        <w:t xml:space="preserve">būti verčiamos į energiją savų poreikių užtikrinimui ir (ar) atskirų objektų energetinei </w:t>
      </w:r>
      <w:r w:rsidRPr="003222BA">
        <w:t>nepriklausomybei. Tam</w:t>
      </w:r>
      <w:r w:rsidRPr="003222BA">
        <w:rPr>
          <w:spacing w:val="40"/>
        </w:rPr>
        <w:t xml:space="preserve"> </w:t>
      </w:r>
      <w:r w:rsidRPr="003222BA">
        <w:t>reikalingos atitinkamos investicijos bei procesiniai pokyčiai, kuriuos Bendrovė turi vykdyti.</w:t>
      </w:r>
    </w:p>
    <w:p w14:paraId="14BD742F" w14:textId="77777777" w:rsidR="00604082" w:rsidRDefault="00604082" w:rsidP="00604082">
      <w:pPr>
        <w:pStyle w:val="Pagrindinistekstas"/>
        <w:spacing w:before="1"/>
        <w:ind w:right="40" w:firstLine="567"/>
      </w:pPr>
      <w:r w:rsidRPr="003222BA">
        <w:t>Bendrovė turi siekti būti socialiai atsakingu partneriu visoms suinteresuotoms šalims, o tai apimtų</w:t>
      </w:r>
      <w:r w:rsidRPr="003222BA">
        <w:rPr>
          <w:spacing w:val="-3"/>
        </w:rPr>
        <w:t xml:space="preserve"> </w:t>
      </w:r>
      <w:r w:rsidRPr="003222BA">
        <w:t>žaliuosius</w:t>
      </w:r>
      <w:r w:rsidRPr="003222BA">
        <w:rPr>
          <w:spacing w:val="-3"/>
        </w:rPr>
        <w:t xml:space="preserve"> </w:t>
      </w:r>
      <w:r w:rsidRPr="003222BA">
        <w:t>pirkimus,</w:t>
      </w:r>
      <w:r w:rsidRPr="003222BA">
        <w:rPr>
          <w:spacing w:val="-3"/>
        </w:rPr>
        <w:t xml:space="preserve"> </w:t>
      </w:r>
      <w:r w:rsidRPr="003222BA">
        <w:t>socialiai</w:t>
      </w:r>
      <w:r w:rsidRPr="003222BA">
        <w:rPr>
          <w:spacing w:val="-3"/>
        </w:rPr>
        <w:t xml:space="preserve"> </w:t>
      </w:r>
      <w:r w:rsidRPr="003222BA">
        <w:t>atsakingų</w:t>
      </w:r>
      <w:r w:rsidRPr="003222BA">
        <w:rPr>
          <w:spacing w:val="-3"/>
        </w:rPr>
        <w:t xml:space="preserve"> </w:t>
      </w:r>
      <w:r w:rsidRPr="003222BA">
        <w:t>tiekėjų</w:t>
      </w:r>
      <w:r w:rsidRPr="003222BA">
        <w:rPr>
          <w:spacing w:val="-3"/>
        </w:rPr>
        <w:t xml:space="preserve"> </w:t>
      </w:r>
      <w:r w:rsidRPr="003222BA">
        <w:t>pasirinkimą</w:t>
      </w:r>
      <w:r w:rsidRPr="003222BA">
        <w:rPr>
          <w:spacing w:val="-3"/>
        </w:rPr>
        <w:t xml:space="preserve"> </w:t>
      </w:r>
      <w:r w:rsidRPr="003222BA">
        <w:t>bei</w:t>
      </w:r>
      <w:r w:rsidRPr="003222BA">
        <w:rPr>
          <w:spacing w:val="-3"/>
        </w:rPr>
        <w:t xml:space="preserve"> </w:t>
      </w:r>
      <w:r w:rsidRPr="003222BA">
        <w:t>socialinių</w:t>
      </w:r>
      <w:r w:rsidRPr="003222BA">
        <w:rPr>
          <w:spacing w:val="-3"/>
        </w:rPr>
        <w:t xml:space="preserve"> </w:t>
      </w:r>
      <w:r w:rsidRPr="003222BA">
        <w:t>projektų</w:t>
      </w:r>
      <w:r w:rsidRPr="003222BA">
        <w:rPr>
          <w:spacing w:val="-3"/>
        </w:rPr>
        <w:t xml:space="preserve"> </w:t>
      </w:r>
      <w:r w:rsidRPr="003222BA">
        <w:t xml:space="preserve">vykdymą. Vykdant žaliuosius pirkimus, Bendrovė prisidės prie žaliųjų technologijų plėtros skatinimo, taip užtikrins mažėjantį neigiamą poveikį aplinkai ir energetinių išteklių tausojimą. Taip pat Bendrovė turi siekti solidarumo ir pagalbos labiausiai socialiai pažeidžiamai visuomenės daliai. </w:t>
      </w:r>
    </w:p>
    <w:p w14:paraId="53E57E88" w14:textId="77777777" w:rsidR="00883714" w:rsidRPr="003222BA" w:rsidRDefault="00883714" w:rsidP="00604082">
      <w:pPr>
        <w:pStyle w:val="Pagrindinistekstas"/>
        <w:spacing w:before="1"/>
        <w:ind w:right="40" w:firstLine="567"/>
      </w:pPr>
    </w:p>
    <w:p w14:paraId="431EF80E" w14:textId="77777777" w:rsidR="00604082" w:rsidRPr="003222BA" w:rsidRDefault="00604082" w:rsidP="00604082">
      <w:pPr>
        <w:pStyle w:val="Pagrindinistekstas"/>
        <w:ind w:firstLine="567"/>
      </w:pPr>
      <w:r w:rsidRPr="003222BA">
        <w:rPr>
          <w:b/>
          <w:bCs/>
        </w:rPr>
        <w:t>Veiklos konkurencingumas.</w:t>
      </w:r>
      <w:r w:rsidRPr="003222BA">
        <w:t xml:space="preserve"> Bendrovė turėtų siekti veiklos konkurencingumo, įvertinti galimybes teikti ir komercines paslaugas. Bendrovė turi užtikrinti kryptingą į rezultatus orientuotą veiklos procesų tobulinimą, siekiant nustatytų tikslų. Tikimasi, kad bus plėtojama ir atnaujinama technika, diegiamos naujovės, kurios užtikrins mažesnes finansines ir laiko sąnaudas. Bendrovei keliamas tikslas e</w:t>
      </w:r>
      <w:r w:rsidRPr="003222BA">
        <w:rPr>
          <w:color w:val="000000" w:themeColor="text1"/>
        </w:rPr>
        <w:t>fektyvinti pagrindines veiklas, mažinti jų nuostolingumą, optimizuoti paslaugų teikimo ir valdymo sąnaudas, užtikrinti turimų resursų kontroliuojamą naudojimą naujomis technologijomis.</w:t>
      </w:r>
    </w:p>
    <w:p w14:paraId="161F07C8" w14:textId="77777777" w:rsidR="00604082" w:rsidRPr="003222BA" w:rsidRDefault="00604082" w:rsidP="00604082">
      <w:pPr>
        <w:pStyle w:val="Pagrindinistekstas"/>
        <w:ind w:firstLine="567"/>
      </w:pPr>
    </w:p>
    <w:p w14:paraId="3F7A3D34" w14:textId="77777777" w:rsidR="00604082" w:rsidRDefault="00604082" w:rsidP="00604082">
      <w:pPr>
        <w:pStyle w:val="Pagrindinistekstas"/>
        <w:spacing w:before="15"/>
        <w:ind w:firstLine="567"/>
        <w:rPr>
          <w:bCs/>
          <w:color w:val="000000" w:themeColor="text1"/>
        </w:rPr>
      </w:pPr>
      <w:r w:rsidRPr="003222BA">
        <w:rPr>
          <w:b/>
          <w:bCs/>
        </w:rPr>
        <w:t>Geroji</w:t>
      </w:r>
      <w:r w:rsidRPr="003222BA">
        <w:rPr>
          <w:b/>
        </w:rPr>
        <w:t xml:space="preserve"> valdysena.</w:t>
      </w:r>
      <w:r w:rsidRPr="003222BA">
        <w:rPr>
          <w:color w:val="000000"/>
        </w:rPr>
        <w:t xml:space="preserve"> </w:t>
      </w:r>
      <w:r w:rsidRPr="00604082">
        <w:t>Bendrovė, atsižvelgdama į viešosios įstaigos Valdymo koordinavimo centro (toliau – VKC) teikiamas rekomendacijas valdysenai gerinti, užtikrins geriausią praktiką atitinkantį valdymą. Bendrovė savo veikla saugos ir gerins reputaciją, atliks reputacijos pokyčių tyrimus, taip pat efektyviai naudos išorinę bei vidinę komunikaciją. Bendrovėje</w:t>
      </w:r>
      <w:r w:rsidRPr="00604082">
        <w:rPr>
          <w:bCs/>
        </w:rPr>
        <w:t xml:space="preserve"> turi būti įdiegtos tokios atsparumo korupcijai priemonės ir procesai, kurie užtikrintų, kad </w:t>
      </w:r>
      <w:r w:rsidRPr="00604082">
        <w:rPr>
          <w:bCs/>
          <w:color w:val="000000" w:themeColor="text1"/>
        </w:rPr>
        <w:t>Bendrovės veikla būtų vykdoma skaidriai ir sąžiningai. Bendrovėje turi veikti efektyvi, tarptautinius standartus atitinkanti ir nuolat tobulinama rizikų valdymo sistema. Korupcijos prevencijai ir rizikų valdymui turi būti priskirti kompetentingi darbuotojai (asmenys), skiriami pakankami ištekliai šiems procesams valdyti bei tinkamai užtikrinti valstybės nacionalinio saugumo interesai.</w:t>
      </w:r>
    </w:p>
    <w:p w14:paraId="07D16223" w14:textId="77777777" w:rsidR="00CF1540" w:rsidRDefault="00CF1540" w:rsidP="00604082">
      <w:pPr>
        <w:pStyle w:val="Pagrindinistekstas"/>
        <w:spacing w:before="15"/>
        <w:ind w:firstLine="567"/>
        <w:rPr>
          <w:bCs/>
          <w:color w:val="000000" w:themeColor="text1"/>
        </w:rPr>
      </w:pPr>
    </w:p>
    <w:p w14:paraId="182371B7" w14:textId="77777777" w:rsidR="00604082" w:rsidRPr="00604082" w:rsidRDefault="00604082" w:rsidP="00604082">
      <w:pPr>
        <w:pStyle w:val="Pagrindinistekstas"/>
        <w:spacing w:before="15"/>
        <w:ind w:firstLine="567"/>
        <w:rPr>
          <w:b/>
          <w:bCs/>
          <w:color w:val="000000" w:themeColor="text1"/>
        </w:rPr>
      </w:pPr>
      <w:r w:rsidRPr="00604082">
        <w:rPr>
          <w:b/>
          <w:bCs/>
          <w:color w:val="000000" w:themeColor="text1"/>
        </w:rPr>
        <w:t>Bendrovės vadovas turės imtis visų galimų priemonių korupcijos prevencijai ir rizikų valdymui, kad:</w:t>
      </w:r>
    </w:p>
    <w:p w14:paraId="22CE3FB1" w14:textId="77777777" w:rsidR="00604082" w:rsidRPr="00604082" w:rsidRDefault="00604082" w:rsidP="00604082">
      <w:pPr>
        <w:pStyle w:val="Pagrindinistekstas"/>
        <w:widowControl w:val="0"/>
        <w:numPr>
          <w:ilvl w:val="0"/>
          <w:numId w:val="12"/>
        </w:numPr>
        <w:autoSpaceDE w:val="0"/>
        <w:autoSpaceDN w:val="0"/>
        <w:ind w:hanging="294"/>
        <w:rPr>
          <w:color w:val="000000" w:themeColor="text1"/>
        </w:rPr>
      </w:pPr>
      <w:r w:rsidRPr="00604082">
        <w:rPr>
          <w:color w:val="000000" w:themeColor="text1"/>
        </w:rPr>
        <w:t>užtikrintų tvarios vertės kūrimą Bendrovėje, siekiant skaidrios ir socialiai atsakingos veiklos, vertybėmis ir etikos normomis grįsto sprendimų priėmimo;</w:t>
      </w:r>
    </w:p>
    <w:p w14:paraId="5D6E2458" w14:textId="77777777" w:rsidR="00604082" w:rsidRPr="003222BA" w:rsidRDefault="00604082" w:rsidP="00604082">
      <w:pPr>
        <w:pStyle w:val="Pagrindinistekstas"/>
        <w:widowControl w:val="0"/>
        <w:numPr>
          <w:ilvl w:val="0"/>
          <w:numId w:val="12"/>
        </w:numPr>
        <w:autoSpaceDE w:val="0"/>
        <w:autoSpaceDN w:val="0"/>
        <w:ind w:hanging="294"/>
      </w:pPr>
      <w:r w:rsidRPr="00604082">
        <w:rPr>
          <w:color w:val="000000" w:themeColor="text1"/>
        </w:rPr>
        <w:t xml:space="preserve">užtikrintų veiklos ir bendravimo kultūrą, pagrįstą aiškiomis vertybėmis ir kuri turėtų būti kuriama orientuojantis į ilgalaikę sėkmę – patrauklaus darbdavio reputaciją, darbuotojų įsitraukimą į Bendrovės gyvenimą ir darbuotojų kompetencijų didinimą. Bendrovė turi </w:t>
      </w:r>
      <w:r w:rsidRPr="003222BA">
        <w:t>siekti solidaus ir stipraus įvaizdžio sukūrimo, ypatingą dėmesį skiriant aukštai aptarnavimo kokybei;</w:t>
      </w:r>
    </w:p>
    <w:p w14:paraId="657522E7" w14:textId="77777777" w:rsidR="00604082" w:rsidRPr="003222BA" w:rsidRDefault="00604082" w:rsidP="00604082">
      <w:pPr>
        <w:pStyle w:val="Pagrindinistekstas"/>
        <w:widowControl w:val="0"/>
        <w:numPr>
          <w:ilvl w:val="0"/>
          <w:numId w:val="12"/>
        </w:numPr>
        <w:autoSpaceDE w:val="0"/>
        <w:autoSpaceDN w:val="0"/>
        <w:ind w:hanging="294"/>
      </w:pPr>
      <w:r w:rsidRPr="003222BA">
        <w:t>viešieji pirkimai Bendrovėje būtų atliekami vadovaujantis Lietuvos Respublikos viešųjų pirkimų įstatymo ir Lietuvos Respublikos pirkimų, atliekamų vandentvarkos, energetikos, transporto ar pašto paslaugų srities perkančiųjų subjektų, įstatymo nuostatomis. Y</w:t>
      </w:r>
      <w:r w:rsidRPr="003222BA">
        <w:rPr>
          <w:bCs/>
        </w:rPr>
        <w:t>patingas dėmesys būtų skiriamas pirkimo dokumentams parengti, užtikrinant, kad jie būtų aiškūs, tikslūs ir išsamūs, o pirkimo procedūros vyktų skaidriai ir sklandžiai;</w:t>
      </w:r>
    </w:p>
    <w:p w14:paraId="59C8D713" w14:textId="77777777" w:rsidR="00604082" w:rsidRPr="003222BA" w:rsidRDefault="00604082" w:rsidP="00604082">
      <w:pPr>
        <w:pStyle w:val="Pagrindinistekstas"/>
        <w:widowControl w:val="0"/>
        <w:numPr>
          <w:ilvl w:val="0"/>
          <w:numId w:val="12"/>
        </w:numPr>
        <w:autoSpaceDE w:val="0"/>
        <w:autoSpaceDN w:val="0"/>
        <w:ind w:hanging="294"/>
      </w:pPr>
      <w:r w:rsidRPr="003222BA">
        <w:t>Bendrovės interneto tinklapyje būtų skelbiama visa privaloma skelbti informacija susijusi su Bendrovės veikla;</w:t>
      </w:r>
    </w:p>
    <w:p w14:paraId="08EFE7F8" w14:textId="77777777" w:rsidR="00604082" w:rsidRPr="003222BA" w:rsidRDefault="00604082" w:rsidP="00604082">
      <w:pPr>
        <w:pStyle w:val="Pagrindinistekstas"/>
        <w:widowControl w:val="0"/>
        <w:numPr>
          <w:ilvl w:val="0"/>
          <w:numId w:val="12"/>
        </w:numPr>
        <w:autoSpaceDE w:val="0"/>
        <w:autoSpaceDN w:val="0"/>
        <w:ind w:left="709" w:hanging="283"/>
      </w:pPr>
      <w:r w:rsidRPr="003222BA">
        <w:t xml:space="preserve">būtų užtikrinama skaidri, </w:t>
      </w:r>
      <w:proofErr w:type="spellStart"/>
      <w:r w:rsidRPr="003222BA">
        <w:t>depolitizuota</w:t>
      </w:r>
      <w:proofErr w:type="spellEnd"/>
      <w:r w:rsidRPr="003222BA">
        <w:t xml:space="preserve"> Bendrovės veikla bei priimami ekonomiškai pagrįsti ir racionalūs sprendimai, būtų įgyvendinta nulinės tolerancijos korupcijai politika;</w:t>
      </w:r>
    </w:p>
    <w:p w14:paraId="76A2D66E" w14:textId="77777777" w:rsidR="00604082" w:rsidRPr="003222BA" w:rsidRDefault="00604082" w:rsidP="00604082">
      <w:pPr>
        <w:pStyle w:val="Pagrindinistekstas"/>
        <w:widowControl w:val="0"/>
        <w:numPr>
          <w:ilvl w:val="0"/>
          <w:numId w:val="12"/>
        </w:numPr>
        <w:autoSpaceDE w:val="0"/>
        <w:autoSpaceDN w:val="0"/>
        <w:ind w:hanging="294"/>
      </w:pPr>
      <w:r w:rsidRPr="003222BA">
        <w:t>vadovaujantis vidaus kontrolei taikomais reikalavimais Bendrovėje būtų nustatyta veiksminga vidaus kontrolės sistema, kuri padėtų užtikrinti Bendrovės veiklos teisėtumą, ekonomiškumą, efektyvumą, rezultatyvumą ir skaidrumą, strategijos ir veiklos planų įgyvendinimą, turto apsaugą, informacijos ir ataskaitų patikimumą ir išsamumą, sutartinių ir kitų įsipareigojimų tretiesiems asmenims laikymąsi ir visų su tuo susijusių rizikos veiksnių valdymą.</w:t>
      </w:r>
    </w:p>
    <w:p w14:paraId="600922C9" w14:textId="77777777" w:rsidR="00604082" w:rsidRPr="003222BA" w:rsidRDefault="00604082" w:rsidP="00604082">
      <w:pPr>
        <w:pStyle w:val="Betarp"/>
        <w:tabs>
          <w:tab w:val="left" w:pos="851"/>
        </w:tabs>
        <w:ind w:firstLine="567"/>
        <w:jc w:val="both"/>
        <w:rPr>
          <w:rFonts w:ascii="Times New Roman" w:hAnsi="Times New Roman"/>
          <w:sz w:val="24"/>
          <w:szCs w:val="24"/>
        </w:rPr>
      </w:pPr>
      <w:r w:rsidRPr="003222BA">
        <w:rPr>
          <w:rFonts w:ascii="Times New Roman" w:hAnsi="Times New Roman"/>
          <w:sz w:val="24"/>
          <w:szCs w:val="24"/>
        </w:rPr>
        <w:lastRenderedPageBreak/>
        <w:t>Bendrovės valdymo organai tiesiogiai atsako už Bendrovei keliamų lūkesčių ir tikslų įgyvendinimą.</w:t>
      </w:r>
    </w:p>
    <w:p w14:paraId="5988575A" w14:textId="77777777" w:rsidR="00604082" w:rsidRPr="003222BA" w:rsidRDefault="00604082" w:rsidP="00604082">
      <w:pPr>
        <w:pStyle w:val="Betarp"/>
        <w:tabs>
          <w:tab w:val="left" w:pos="851"/>
        </w:tabs>
        <w:ind w:firstLine="567"/>
        <w:jc w:val="both"/>
        <w:rPr>
          <w:rFonts w:ascii="Times New Roman" w:hAnsi="Times New Roman"/>
          <w:sz w:val="24"/>
          <w:szCs w:val="24"/>
        </w:rPr>
      </w:pPr>
      <w:r w:rsidRPr="003222BA">
        <w:rPr>
          <w:rFonts w:ascii="Times New Roman" w:hAnsi="Times New Roman"/>
          <w:sz w:val="24"/>
          <w:szCs w:val="24"/>
        </w:rPr>
        <w:t>Bendrovės vadovas turi kasmet pristatyti Savivaldybei atnaujintą strateginį veiklos planą, metinius biudžetus ir praėjusių metų rezultatus.</w:t>
      </w:r>
    </w:p>
    <w:p w14:paraId="5E8C0BD5" w14:textId="77777777" w:rsidR="00604082" w:rsidRDefault="00604082" w:rsidP="00604082">
      <w:pPr>
        <w:pStyle w:val="Betarp"/>
        <w:tabs>
          <w:tab w:val="left" w:pos="851"/>
        </w:tabs>
        <w:ind w:firstLine="567"/>
        <w:jc w:val="both"/>
        <w:rPr>
          <w:rFonts w:ascii="Times New Roman" w:hAnsi="Times New Roman"/>
          <w:sz w:val="24"/>
          <w:szCs w:val="24"/>
        </w:rPr>
      </w:pPr>
      <w:r w:rsidRPr="003222BA">
        <w:rPr>
          <w:rFonts w:ascii="Times New Roman" w:hAnsi="Times New Roman"/>
          <w:sz w:val="24"/>
          <w:szCs w:val="24"/>
        </w:rPr>
        <w:t>Bendrovės vadovas turi vadovautis protingumo principais ir informuoti apie su savininko interesais susijusius svarbius sprendimus.</w:t>
      </w:r>
    </w:p>
    <w:p w14:paraId="44D21113" w14:textId="77777777" w:rsidR="00CF1540" w:rsidRDefault="00CF1540" w:rsidP="00604082">
      <w:pPr>
        <w:pStyle w:val="Betarp"/>
        <w:tabs>
          <w:tab w:val="left" w:pos="851"/>
        </w:tabs>
        <w:ind w:firstLine="567"/>
        <w:jc w:val="both"/>
        <w:rPr>
          <w:rFonts w:ascii="Times New Roman" w:hAnsi="Times New Roman"/>
          <w:sz w:val="24"/>
          <w:szCs w:val="24"/>
        </w:rPr>
      </w:pPr>
    </w:p>
    <w:p w14:paraId="0ABC8D12" w14:textId="77777777" w:rsidR="00995E77" w:rsidRPr="00995E77" w:rsidRDefault="00995E77" w:rsidP="00995E77">
      <w:pPr>
        <w:pStyle w:val="Betarp"/>
        <w:tabs>
          <w:tab w:val="left" w:pos="851"/>
        </w:tabs>
        <w:ind w:firstLine="567"/>
        <w:jc w:val="both"/>
        <w:rPr>
          <w:rFonts w:ascii="Times New Roman" w:hAnsi="Times New Roman"/>
        </w:rPr>
      </w:pPr>
      <w:r w:rsidRPr="00995E77">
        <w:rPr>
          <w:rFonts w:ascii="Times New Roman" w:hAnsi="Times New Roman"/>
          <w:b/>
          <w:bCs/>
          <w:sz w:val="24"/>
          <w:szCs w:val="24"/>
        </w:rPr>
        <w:t>Bendrovės veiklos matavimo rodikliai.</w:t>
      </w:r>
      <w:r w:rsidRPr="00995E77">
        <w:rPr>
          <w:rFonts w:ascii="Times New Roman" w:hAnsi="Times New Roman"/>
          <w:sz w:val="24"/>
          <w:szCs w:val="24"/>
        </w:rPr>
        <w:t xml:space="preserve"> </w:t>
      </w:r>
      <w:r w:rsidRPr="00995E77">
        <w:rPr>
          <w:rFonts w:ascii="Times New Roman" w:hAnsi="Times New Roman"/>
        </w:rPr>
        <w:t>Bendrovė sprendimuose sieks subalansuoto finansavimo priemonių taikymo: optimalios skolinto ir nuosavo kapitalo struktūros, pagrindinių veiklų vystymo bei papildomos vertės Savivaldybei ir naudos visuomenei.</w:t>
      </w:r>
    </w:p>
    <w:p w14:paraId="7E7C945F" w14:textId="77777777" w:rsidR="00995E77" w:rsidRPr="00995E77" w:rsidRDefault="00995E77" w:rsidP="00995E77">
      <w:pPr>
        <w:pStyle w:val="Betarp"/>
        <w:tabs>
          <w:tab w:val="left" w:pos="851"/>
        </w:tabs>
        <w:ind w:firstLine="567"/>
        <w:jc w:val="both"/>
        <w:rPr>
          <w:rFonts w:ascii="Times New Roman" w:hAnsi="Times New Roman"/>
        </w:rPr>
      </w:pPr>
    </w:p>
    <w:tbl>
      <w:tblPr>
        <w:tblW w:w="9498" w:type="dxa"/>
        <w:tblInd w:w="106" w:type="dxa"/>
        <w:tblCellMar>
          <w:left w:w="0" w:type="dxa"/>
          <w:right w:w="0" w:type="dxa"/>
        </w:tblCellMar>
        <w:tblLook w:val="04A0" w:firstRow="1" w:lastRow="0" w:firstColumn="1" w:lastColumn="0" w:noHBand="0" w:noVBand="1"/>
      </w:tblPr>
      <w:tblGrid>
        <w:gridCol w:w="567"/>
        <w:gridCol w:w="3686"/>
        <w:gridCol w:w="5245"/>
      </w:tblGrid>
      <w:tr w:rsidR="00995E77" w:rsidRPr="00995E77" w14:paraId="1D554692" w14:textId="77777777" w:rsidTr="00995E77">
        <w:trPr>
          <w:trHeight w:val="517"/>
        </w:trPr>
        <w:tc>
          <w:tcPr>
            <w:tcW w:w="567"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57" w:type="dxa"/>
            </w:tcMar>
            <w:hideMark/>
          </w:tcPr>
          <w:p w14:paraId="0C55007E" w14:textId="77777777" w:rsidR="00995E77" w:rsidRPr="00995E77" w:rsidRDefault="00995E77" w:rsidP="002F7D34">
            <w:pPr>
              <w:spacing w:line="252" w:lineRule="auto"/>
              <w:ind w:left="2"/>
              <w:rPr>
                <w:szCs w:val="24"/>
              </w:rPr>
            </w:pPr>
            <w:r w:rsidRPr="00995E77">
              <w:t xml:space="preserve">Eil. Nr. </w:t>
            </w:r>
          </w:p>
        </w:tc>
        <w:tc>
          <w:tcPr>
            <w:tcW w:w="3686" w:type="dxa"/>
            <w:tcBorders>
              <w:top w:val="single" w:sz="8" w:space="0" w:color="000000"/>
              <w:left w:val="nil"/>
              <w:bottom w:val="single" w:sz="8" w:space="0" w:color="000000"/>
              <w:right w:val="single" w:sz="8" w:space="0" w:color="000000"/>
            </w:tcBorders>
            <w:tcMar>
              <w:top w:w="7" w:type="dxa"/>
              <w:left w:w="106" w:type="dxa"/>
              <w:bottom w:w="0" w:type="dxa"/>
              <w:right w:w="57" w:type="dxa"/>
            </w:tcMar>
            <w:vAlign w:val="center"/>
            <w:hideMark/>
          </w:tcPr>
          <w:p w14:paraId="34009E8B" w14:textId="77777777" w:rsidR="00995E77" w:rsidRPr="00995E77" w:rsidRDefault="00995E77" w:rsidP="002F7D34">
            <w:pPr>
              <w:spacing w:line="252" w:lineRule="auto"/>
              <w:rPr>
                <w:szCs w:val="24"/>
              </w:rPr>
            </w:pPr>
            <w:r w:rsidRPr="00995E77">
              <w:t xml:space="preserve">Įmonės veiklos rodiklio pavadinimas </w:t>
            </w:r>
          </w:p>
        </w:tc>
        <w:tc>
          <w:tcPr>
            <w:tcW w:w="5245" w:type="dxa"/>
            <w:tcBorders>
              <w:top w:val="single" w:sz="8" w:space="0" w:color="000000"/>
              <w:left w:val="nil"/>
              <w:bottom w:val="single" w:sz="8" w:space="0" w:color="000000"/>
              <w:right w:val="single" w:sz="8" w:space="0" w:color="000000"/>
            </w:tcBorders>
            <w:tcMar>
              <w:top w:w="7" w:type="dxa"/>
              <w:left w:w="106" w:type="dxa"/>
              <w:bottom w:w="0" w:type="dxa"/>
              <w:right w:w="57" w:type="dxa"/>
            </w:tcMar>
            <w:hideMark/>
          </w:tcPr>
          <w:p w14:paraId="16CEF9E3" w14:textId="77777777" w:rsidR="00995E77" w:rsidRPr="00995E77" w:rsidRDefault="00995E77" w:rsidP="002F7D34">
            <w:pPr>
              <w:spacing w:line="252" w:lineRule="auto"/>
              <w:ind w:left="727" w:right="720"/>
              <w:jc w:val="center"/>
              <w:rPr>
                <w:szCs w:val="24"/>
              </w:rPr>
            </w:pPr>
            <w:r w:rsidRPr="00995E77">
              <w:t xml:space="preserve">Rodiklio reikšmė (per metus) </w:t>
            </w:r>
          </w:p>
        </w:tc>
      </w:tr>
      <w:tr w:rsidR="00995E77" w:rsidRPr="00995E77" w14:paraId="69DD173E" w14:textId="77777777" w:rsidTr="00995E77">
        <w:trPr>
          <w:trHeight w:val="1667"/>
        </w:trPr>
        <w:tc>
          <w:tcPr>
            <w:tcW w:w="567" w:type="dxa"/>
            <w:tcBorders>
              <w:top w:val="nil"/>
              <w:left w:val="single" w:sz="8" w:space="0" w:color="000000"/>
              <w:bottom w:val="single" w:sz="8" w:space="0" w:color="000000"/>
              <w:right w:val="single" w:sz="8" w:space="0" w:color="000000"/>
            </w:tcBorders>
            <w:tcMar>
              <w:top w:w="7" w:type="dxa"/>
              <w:left w:w="106" w:type="dxa"/>
              <w:bottom w:w="0" w:type="dxa"/>
              <w:right w:w="57" w:type="dxa"/>
            </w:tcMar>
            <w:hideMark/>
          </w:tcPr>
          <w:p w14:paraId="6B80FEFE" w14:textId="77777777" w:rsidR="00995E77" w:rsidRPr="00995E77" w:rsidRDefault="00995E77" w:rsidP="002F7D34">
            <w:pPr>
              <w:spacing w:line="252" w:lineRule="auto"/>
              <w:ind w:left="2"/>
              <w:rPr>
                <w:szCs w:val="24"/>
              </w:rPr>
            </w:pPr>
            <w:r w:rsidRPr="00995E77">
              <w:t xml:space="preserve">1. </w:t>
            </w:r>
          </w:p>
        </w:tc>
        <w:tc>
          <w:tcPr>
            <w:tcW w:w="3686" w:type="dxa"/>
            <w:tcBorders>
              <w:top w:val="nil"/>
              <w:left w:val="nil"/>
              <w:bottom w:val="single" w:sz="8" w:space="0" w:color="000000"/>
              <w:right w:val="single" w:sz="8" w:space="0" w:color="000000"/>
            </w:tcBorders>
            <w:tcMar>
              <w:top w:w="7" w:type="dxa"/>
              <w:left w:w="106" w:type="dxa"/>
              <w:bottom w:w="0" w:type="dxa"/>
              <w:right w:w="57" w:type="dxa"/>
            </w:tcMar>
            <w:hideMark/>
          </w:tcPr>
          <w:p w14:paraId="4EC339B4" w14:textId="77777777" w:rsidR="00995E77" w:rsidRPr="00995E77" w:rsidRDefault="00995E77" w:rsidP="002F7D34">
            <w:pPr>
              <w:spacing w:line="252" w:lineRule="auto"/>
              <w:jc w:val="both"/>
              <w:rPr>
                <w:szCs w:val="24"/>
              </w:rPr>
            </w:pPr>
            <w:r w:rsidRPr="00995E77">
              <w:t>Aukštos kokybės paslaugų teikimas, įgyvendinant vidaus sandorio sutartį</w:t>
            </w:r>
          </w:p>
        </w:tc>
        <w:tc>
          <w:tcPr>
            <w:tcW w:w="5245" w:type="dxa"/>
            <w:tcBorders>
              <w:top w:val="nil"/>
              <w:left w:val="nil"/>
              <w:bottom w:val="single" w:sz="8" w:space="0" w:color="000000"/>
              <w:right w:val="single" w:sz="8" w:space="0" w:color="000000"/>
            </w:tcBorders>
            <w:tcMar>
              <w:top w:w="7" w:type="dxa"/>
              <w:left w:w="106" w:type="dxa"/>
              <w:bottom w:w="0" w:type="dxa"/>
              <w:right w:w="57" w:type="dxa"/>
            </w:tcMar>
            <w:hideMark/>
          </w:tcPr>
          <w:p w14:paraId="328989BB" w14:textId="77777777" w:rsidR="00995E77" w:rsidRPr="00995E77" w:rsidRDefault="00995E77" w:rsidP="002F7D34">
            <w:pPr>
              <w:spacing w:line="252" w:lineRule="auto"/>
              <w:ind w:right="54"/>
              <w:jc w:val="center"/>
              <w:rPr>
                <w:szCs w:val="24"/>
              </w:rPr>
            </w:pPr>
            <w:r w:rsidRPr="00995E77">
              <w:t xml:space="preserve">Resursų optimizavimas </w:t>
            </w:r>
          </w:p>
          <w:p w14:paraId="61758E84" w14:textId="77777777" w:rsidR="00995E77" w:rsidRPr="00995E77" w:rsidRDefault="00995E77" w:rsidP="002F7D34">
            <w:pPr>
              <w:spacing w:after="2" w:line="230" w:lineRule="auto"/>
              <w:jc w:val="center"/>
              <w:rPr>
                <w:sz w:val="22"/>
                <w:szCs w:val="22"/>
              </w:rPr>
            </w:pPr>
            <w:r w:rsidRPr="00995E77">
              <w:t xml:space="preserve">Kainų tolygumo rinkos kainoms vertinimas </w:t>
            </w:r>
          </w:p>
          <w:p w14:paraId="75E95802" w14:textId="77777777" w:rsidR="00995E77" w:rsidRPr="00995E77" w:rsidRDefault="00995E77" w:rsidP="002F7D34">
            <w:pPr>
              <w:spacing w:line="256" w:lineRule="auto"/>
              <w:jc w:val="center"/>
            </w:pPr>
            <w:r w:rsidRPr="00995E77">
              <w:t xml:space="preserve">Žmogiškųjų išteklių ir technikos valdymo sistemos įdiegimas </w:t>
            </w:r>
          </w:p>
          <w:p w14:paraId="13E240D0" w14:textId="77777777" w:rsidR="00995E77" w:rsidRPr="00995E77" w:rsidRDefault="00995E77" w:rsidP="002F7D34">
            <w:pPr>
              <w:spacing w:line="252" w:lineRule="auto"/>
              <w:ind w:right="51"/>
              <w:jc w:val="center"/>
              <w:rPr>
                <w:szCs w:val="24"/>
              </w:rPr>
            </w:pPr>
            <w:r w:rsidRPr="00995E77">
              <w:t xml:space="preserve">Transporto, mechanizmų ar kitos technikos poreikio savalaikis planavimas </w:t>
            </w:r>
          </w:p>
        </w:tc>
      </w:tr>
      <w:tr w:rsidR="00995E77" w:rsidRPr="00995E77" w14:paraId="2A402D7D" w14:textId="77777777" w:rsidTr="00995E77">
        <w:trPr>
          <w:trHeight w:val="516"/>
        </w:trPr>
        <w:tc>
          <w:tcPr>
            <w:tcW w:w="567" w:type="dxa"/>
            <w:tcBorders>
              <w:top w:val="nil"/>
              <w:left w:val="single" w:sz="8" w:space="0" w:color="000000"/>
              <w:bottom w:val="single" w:sz="8" w:space="0" w:color="000000"/>
              <w:right w:val="single" w:sz="8" w:space="0" w:color="000000"/>
            </w:tcBorders>
            <w:tcMar>
              <w:top w:w="7" w:type="dxa"/>
              <w:left w:w="106" w:type="dxa"/>
              <w:bottom w:w="0" w:type="dxa"/>
              <w:right w:w="57" w:type="dxa"/>
            </w:tcMar>
            <w:hideMark/>
          </w:tcPr>
          <w:p w14:paraId="61D1A1C1" w14:textId="77777777" w:rsidR="00995E77" w:rsidRPr="00995E77" w:rsidRDefault="00995E77" w:rsidP="002F7D34">
            <w:pPr>
              <w:spacing w:line="252" w:lineRule="auto"/>
              <w:ind w:left="2"/>
              <w:rPr>
                <w:szCs w:val="24"/>
              </w:rPr>
            </w:pPr>
            <w:r w:rsidRPr="00995E77">
              <w:t xml:space="preserve">2. </w:t>
            </w:r>
          </w:p>
        </w:tc>
        <w:tc>
          <w:tcPr>
            <w:tcW w:w="3686" w:type="dxa"/>
            <w:tcBorders>
              <w:top w:val="nil"/>
              <w:left w:val="nil"/>
              <w:bottom w:val="single" w:sz="8" w:space="0" w:color="000000"/>
              <w:right w:val="single" w:sz="8" w:space="0" w:color="000000"/>
            </w:tcBorders>
            <w:tcMar>
              <w:top w:w="7" w:type="dxa"/>
              <w:left w:w="106" w:type="dxa"/>
              <w:bottom w:w="0" w:type="dxa"/>
              <w:right w:w="57" w:type="dxa"/>
            </w:tcMar>
            <w:hideMark/>
          </w:tcPr>
          <w:p w14:paraId="42374919" w14:textId="77777777" w:rsidR="00995E77" w:rsidRPr="00995E77" w:rsidRDefault="00995E77" w:rsidP="002F7D34">
            <w:pPr>
              <w:spacing w:line="252" w:lineRule="auto"/>
              <w:rPr>
                <w:szCs w:val="24"/>
              </w:rPr>
            </w:pPr>
            <w:r w:rsidRPr="00995E77">
              <w:t xml:space="preserve">Modernizuotų / atnaujintų daugiabučių namų plėtra ir vystymas </w:t>
            </w:r>
          </w:p>
        </w:tc>
        <w:tc>
          <w:tcPr>
            <w:tcW w:w="5245" w:type="dxa"/>
            <w:tcBorders>
              <w:top w:val="nil"/>
              <w:left w:val="nil"/>
              <w:bottom w:val="single" w:sz="8" w:space="0" w:color="000000"/>
              <w:right w:val="single" w:sz="8" w:space="0" w:color="000000"/>
            </w:tcBorders>
            <w:tcMar>
              <w:top w:w="7" w:type="dxa"/>
              <w:left w:w="106" w:type="dxa"/>
              <w:bottom w:w="0" w:type="dxa"/>
              <w:right w:w="57" w:type="dxa"/>
            </w:tcMar>
            <w:hideMark/>
          </w:tcPr>
          <w:p w14:paraId="5DFC11B5" w14:textId="77777777" w:rsidR="00995E77" w:rsidRPr="00995E77" w:rsidRDefault="00995E77" w:rsidP="002F7D34">
            <w:pPr>
              <w:spacing w:line="252" w:lineRule="auto"/>
              <w:jc w:val="center"/>
              <w:rPr>
                <w:szCs w:val="24"/>
              </w:rPr>
            </w:pPr>
            <w:r w:rsidRPr="00995E77">
              <w:t xml:space="preserve">Modernizuotų namų skaičiaus didinimas </w:t>
            </w:r>
          </w:p>
        </w:tc>
      </w:tr>
      <w:tr w:rsidR="00995E77" w:rsidRPr="00995E77" w14:paraId="2F0B3E9C" w14:textId="77777777" w:rsidTr="00995E77">
        <w:trPr>
          <w:trHeight w:val="516"/>
        </w:trPr>
        <w:tc>
          <w:tcPr>
            <w:tcW w:w="567" w:type="dxa"/>
            <w:tcBorders>
              <w:top w:val="nil"/>
              <w:left w:val="single" w:sz="8" w:space="0" w:color="000000"/>
              <w:bottom w:val="single" w:sz="8" w:space="0" w:color="000000"/>
              <w:right w:val="single" w:sz="8" w:space="0" w:color="000000"/>
            </w:tcBorders>
            <w:tcMar>
              <w:top w:w="7" w:type="dxa"/>
              <w:left w:w="106" w:type="dxa"/>
              <w:bottom w:w="0" w:type="dxa"/>
              <w:right w:w="57" w:type="dxa"/>
            </w:tcMar>
            <w:hideMark/>
          </w:tcPr>
          <w:p w14:paraId="7B1DDAFD" w14:textId="77777777" w:rsidR="00995E77" w:rsidRPr="00995E77" w:rsidRDefault="00995E77" w:rsidP="002F7D34">
            <w:pPr>
              <w:spacing w:line="252" w:lineRule="auto"/>
              <w:ind w:left="2"/>
              <w:rPr>
                <w:szCs w:val="24"/>
              </w:rPr>
            </w:pPr>
            <w:r w:rsidRPr="00995E77">
              <w:t xml:space="preserve">3. </w:t>
            </w:r>
          </w:p>
        </w:tc>
        <w:tc>
          <w:tcPr>
            <w:tcW w:w="3686" w:type="dxa"/>
            <w:tcBorders>
              <w:top w:val="nil"/>
              <w:left w:val="nil"/>
              <w:bottom w:val="single" w:sz="8" w:space="0" w:color="000000"/>
              <w:right w:val="single" w:sz="8" w:space="0" w:color="000000"/>
            </w:tcBorders>
            <w:tcMar>
              <w:top w:w="7" w:type="dxa"/>
              <w:left w:w="106" w:type="dxa"/>
              <w:bottom w:w="0" w:type="dxa"/>
              <w:right w:w="57" w:type="dxa"/>
            </w:tcMar>
            <w:hideMark/>
          </w:tcPr>
          <w:p w14:paraId="43672029" w14:textId="77777777" w:rsidR="00995E77" w:rsidRPr="00995E77" w:rsidRDefault="00995E77" w:rsidP="002F7D34">
            <w:pPr>
              <w:spacing w:line="252" w:lineRule="auto"/>
              <w:rPr>
                <w:szCs w:val="24"/>
              </w:rPr>
            </w:pPr>
            <w:r w:rsidRPr="00995E77">
              <w:t xml:space="preserve">Klientų pasitenkinimo Bendrovės teikiamomis paslaugomis indeksavimas </w:t>
            </w:r>
          </w:p>
        </w:tc>
        <w:tc>
          <w:tcPr>
            <w:tcW w:w="5245" w:type="dxa"/>
            <w:tcBorders>
              <w:top w:val="nil"/>
              <w:left w:val="nil"/>
              <w:bottom w:val="single" w:sz="8" w:space="0" w:color="000000"/>
              <w:right w:val="single" w:sz="8" w:space="0" w:color="000000"/>
            </w:tcBorders>
            <w:tcMar>
              <w:top w:w="7" w:type="dxa"/>
              <w:left w:w="106" w:type="dxa"/>
              <w:bottom w:w="0" w:type="dxa"/>
              <w:right w:w="57" w:type="dxa"/>
            </w:tcMar>
            <w:hideMark/>
          </w:tcPr>
          <w:p w14:paraId="66498F4C" w14:textId="77777777" w:rsidR="00995E77" w:rsidRPr="00995E77" w:rsidRDefault="00995E77" w:rsidP="002F7D34">
            <w:pPr>
              <w:spacing w:line="252" w:lineRule="auto"/>
              <w:jc w:val="center"/>
              <w:rPr>
                <w:szCs w:val="24"/>
              </w:rPr>
            </w:pPr>
            <w:r w:rsidRPr="00995E77">
              <w:t xml:space="preserve">Kasmet aukštesnis pasitenkinimo indeksas </w:t>
            </w:r>
          </w:p>
        </w:tc>
      </w:tr>
      <w:tr w:rsidR="00995E77" w:rsidRPr="00995E77" w14:paraId="7D942252" w14:textId="77777777" w:rsidTr="00995E77">
        <w:trPr>
          <w:trHeight w:val="516"/>
        </w:trPr>
        <w:tc>
          <w:tcPr>
            <w:tcW w:w="567" w:type="dxa"/>
            <w:tcBorders>
              <w:top w:val="nil"/>
              <w:left w:val="single" w:sz="8" w:space="0" w:color="000000"/>
              <w:bottom w:val="single" w:sz="8" w:space="0" w:color="000000"/>
              <w:right w:val="single" w:sz="8" w:space="0" w:color="000000"/>
            </w:tcBorders>
            <w:tcMar>
              <w:top w:w="7" w:type="dxa"/>
              <w:left w:w="106" w:type="dxa"/>
              <w:bottom w:w="0" w:type="dxa"/>
              <w:right w:w="57" w:type="dxa"/>
            </w:tcMar>
            <w:hideMark/>
          </w:tcPr>
          <w:p w14:paraId="5D6DC501" w14:textId="77777777" w:rsidR="00995E77" w:rsidRPr="00995E77" w:rsidRDefault="00995E77" w:rsidP="002F7D34">
            <w:pPr>
              <w:spacing w:line="252" w:lineRule="auto"/>
              <w:ind w:left="2"/>
              <w:rPr>
                <w:szCs w:val="24"/>
              </w:rPr>
            </w:pPr>
            <w:r w:rsidRPr="00995E77">
              <w:t xml:space="preserve">4. </w:t>
            </w:r>
          </w:p>
        </w:tc>
        <w:tc>
          <w:tcPr>
            <w:tcW w:w="3686" w:type="dxa"/>
            <w:tcBorders>
              <w:top w:val="nil"/>
              <w:left w:val="nil"/>
              <w:bottom w:val="single" w:sz="8" w:space="0" w:color="000000"/>
              <w:right w:val="single" w:sz="8" w:space="0" w:color="000000"/>
            </w:tcBorders>
            <w:tcMar>
              <w:top w:w="7" w:type="dxa"/>
              <w:left w:w="106" w:type="dxa"/>
              <w:bottom w:w="0" w:type="dxa"/>
              <w:right w:w="57" w:type="dxa"/>
            </w:tcMar>
            <w:hideMark/>
          </w:tcPr>
          <w:p w14:paraId="572BAB80" w14:textId="77777777" w:rsidR="00995E77" w:rsidRPr="00995E77" w:rsidRDefault="00995E77" w:rsidP="002F7D34">
            <w:pPr>
              <w:spacing w:line="252" w:lineRule="auto"/>
              <w:rPr>
                <w:szCs w:val="24"/>
              </w:rPr>
            </w:pPr>
            <w:r w:rsidRPr="00995E77">
              <w:t>Klientų aptarnavimo elektroninėje erdvėje plėtra</w:t>
            </w:r>
          </w:p>
        </w:tc>
        <w:tc>
          <w:tcPr>
            <w:tcW w:w="5245" w:type="dxa"/>
            <w:tcBorders>
              <w:top w:val="nil"/>
              <w:left w:val="nil"/>
              <w:bottom w:val="single" w:sz="8" w:space="0" w:color="000000"/>
              <w:right w:val="single" w:sz="8" w:space="0" w:color="000000"/>
            </w:tcBorders>
            <w:tcMar>
              <w:top w:w="7" w:type="dxa"/>
              <w:left w:w="106" w:type="dxa"/>
              <w:bottom w:w="0" w:type="dxa"/>
              <w:right w:w="57" w:type="dxa"/>
            </w:tcMar>
            <w:hideMark/>
          </w:tcPr>
          <w:p w14:paraId="415F3C2B" w14:textId="77777777" w:rsidR="00995E77" w:rsidRPr="00995E77" w:rsidRDefault="00995E77" w:rsidP="002F7D34">
            <w:pPr>
              <w:spacing w:line="252" w:lineRule="auto"/>
              <w:jc w:val="center"/>
              <w:rPr>
                <w:szCs w:val="24"/>
              </w:rPr>
            </w:pPr>
            <w:r w:rsidRPr="00995E77">
              <w:t xml:space="preserve">Elektroninių būdu aptarnautų asmenų skaičiaus didinimas </w:t>
            </w:r>
          </w:p>
        </w:tc>
      </w:tr>
      <w:tr w:rsidR="00995E77" w:rsidRPr="00995E77" w14:paraId="24CC566E" w14:textId="77777777" w:rsidTr="00995E77">
        <w:trPr>
          <w:trHeight w:val="264"/>
        </w:trPr>
        <w:tc>
          <w:tcPr>
            <w:tcW w:w="567" w:type="dxa"/>
            <w:tcBorders>
              <w:top w:val="nil"/>
              <w:left w:val="single" w:sz="8" w:space="0" w:color="000000"/>
              <w:bottom w:val="single" w:sz="8" w:space="0" w:color="000000"/>
              <w:right w:val="single" w:sz="8" w:space="0" w:color="000000"/>
            </w:tcBorders>
            <w:tcMar>
              <w:top w:w="7" w:type="dxa"/>
              <w:left w:w="106" w:type="dxa"/>
              <w:bottom w:w="0" w:type="dxa"/>
              <w:right w:w="57" w:type="dxa"/>
            </w:tcMar>
            <w:hideMark/>
          </w:tcPr>
          <w:p w14:paraId="36F5A8CA" w14:textId="77777777" w:rsidR="00995E77" w:rsidRPr="00995E77" w:rsidRDefault="00995E77" w:rsidP="002F7D34">
            <w:pPr>
              <w:spacing w:line="252" w:lineRule="auto"/>
              <w:ind w:left="2"/>
              <w:rPr>
                <w:szCs w:val="24"/>
              </w:rPr>
            </w:pPr>
            <w:r w:rsidRPr="00995E77">
              <w:t xml:space="preserve">6. </w:t>
            </w:r>
          </w:p>
        </w:tc>
        <w:tc>
          <w:tcPr>
            <w:tcW w:w="3686" w:type="dxa"/>
            <w:tcBorders>
              <w:top w:val="nil"/>
              <w:left w:val="nil"/>
              <w:bottom w:val="single" w:sz="8" w:space="0" w:color="000000"/>
              <w:right w:val="single" w:sz="8" w:space="0" w:color="000000"/>
            </w:tcBorders>
            <w:tcMar>
              <w:top w:w="7" w:type="dxa"/>
              <w:left w:w="106" w:type="dxa"/>
              <w:bottom w:w="0" w:type="dxa"/>
              <w:right w:w="57" w:type="dxa"/>
            </w:tcMar>
            <w:hideMark/>
          </w:tcPr>
          <w:p w14:paraId="095910BF" w14:textId="77777777" w:rsidR="00995E77" w:rsidRPr="00995E77" w:rsidRDefault="00995E77" w:rsidP="002F7D34">
            <w:pPr>
              <w:spacing w:line="252" w:lineRule="auto"/>
              <w:rPr>
                <w:szCs w:val="24"/>
              </w:rPr>
            </w:pPr>
            <w:r w:rsidRPr="00995E77">
              <w:t xml:space="preserve">Aukštą pridėtinę vertę kuriančios darbo jėgos pritraukimas </w:t>
            </w:r>
          </w:p>
        </w:tc>
        <w:tc>
          <w:tcPr>
            <w:tcW w:w="5245" w:type="dxa"/>
            <w:tcBorders>
              <w:top w:val="nil"/>
              <w:left w:val="nil"/>
              <w:bottom w:val="single" w:sz="8" w:space="0" w:color="000000"/>
              <w:right w:val="single" w:sz="8" w:space="0" w:color="000000"/>
            </w:tcBorders>
            <w:tcMar>
              <w:top w:w="7" w:type="dxa"/>
              <w:left w:w="106" w:type="dxa"/>
              <w:bottom w:w="0" w:type="dxa"/>
              <w:right w:w="57" w:type="dxa"/>
            </w:tcMar>
            <w:hideMark/>
          </w:tcPr>
          <w:p w14:paraId="38E42E2D" w14:textId="0D67BC07" w:rsidR="00995E77" w:rsidRPr="00995E77" w:rsidRDefault="00995E77" w:rsidP="002F7D34">
            <w:pPr>
              <w:spacing w:line="252" w:lineRule="auto"/>
              <w:ind w:right="54"/>
              <w:jc w:val="center"/>
              <w:rPr>
                <w:szCs w:val="24"/>
              </w:rPr>
            </w:pPr>
            <w:r w:rsidRPr="00995E77">
              <w:t xml:space="preserve">Įmonės bendro VDU augimas </w:t>
            </w:r>
          </w:p>
        </w:tc>
      </w:tr>
    </w:tbl>
    <w:p w14:paraId="4E1C8AE2" w14:textId="77777777" w:rsidR="00995E77" w:rsidRPr="00995E77" w:rsidRDefault="00995E77" w:rsidP="00995E77">
      <w:pPr>
        <w:pStyle w:val="Betarp"/>
        <w:tabs>
          <w:tab w:val="left" w:pos="851"/>
        </w:tabs>
        <w:ind w:firstLine="567"/>
        <w:jc w:val="both"/>
        <w:rPr>
          <w:rFonts w:ascii="Times New Roman" w:hAnsi="Times New Roman"/>
          <w:sz w:val="24"/>
          <w:szCs w:val="24"/>
        </w:rPr>
      </w:pPr>
    </w:p>
    <w:tbl>
      <w:tblPr>
        <w:tblW w:w="9498" w:type="dxa"/>
        <w:tblInd w:w="106" w:type="dxa"/>
        <w:tblCellMar>
          <w:left w:w="0" w:type="dxa"/>
          <w:right w:w="0" w:type="dxa"/>
        </w:tblCellMar>
        <w:tblLook w:val="04A0" w:firstRow="1" w:lastRow="0" w:firstColumn="1" w:lastColumn="0" w:noHBand="0" w:noVBand="1"/>
      </w:tblPr>
      <w:tblGrid>
        <w:gridCol w:w="567"/>
        <w:gridCol w:w="4678"/>
        <w:gridCol w:w="4253"/>
      </w:tblGrid>
      <w:tr w:rsidR="0045039B" w:rsidRPr="0045039B" w14:paraId="687C5726" w14:textId="77777777" w:rsidTr="002F7D34">
        <w:trPr>
          <w:trHeight w:val="517"/>
        </w:trPr>
        <w:tc>
          <w:tcPr>
            <w:tcW w:w="567"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103" w:type="dxa"/>
            </w:tcMar>
            <w:hideMark/>
          </w:tcPr>
          <w:p w14:paraId="3808E089" w14:textId="77777777" w:rsidR="00995E77" w:rsidRPr="00995E77" w:rsidRDefault="00995E77" w:rsidP="002F7D34">
            <w:pPr>
              <w:spacing w:line="252" w:lineRule="auto"/>
              <w:jc w:val="center"/>
              <w:rPr>
                <w:szCs w:val="24"/>
              </w:rPr>
            </w:pPr>
            <w:r w:rsidRPr="00995E77">
              <w:t xml:space="preserve">Eil. Nr. </w:t>
            </w:r>
          </w:p>
        </w:tc>
        <w:tc>
          <w:tcPr>
            <w:tcW w:w="4678" w:type="dxa"/>
            <w:tcBorders>
              <w:top w:val="single" w:sz="8" w:space="0" w:color="000000"/>
              <w:left w:val="nil"/>
              <w:bottom w:val="single" w:sz="8" w:space="0" w:color="000000"/>
              <w:right w:val="single" w:sz="8" w:space="0" w:color="000000"/>
            </w:tcBorders>
            <w:tcMar>
              <w:top w:w="7" w:type="dxa"/>
              <w:left w:w="106" w:type="dxa"/>
              <w:bottom w:w="0" w:type="dxa"/>
              <w:right w:w="103" w:type="dxa"/>
            </w:tcMar>
            <w:vAlign w:val="center"/>
            <w:hideMark/>
          </w:tcPr>
          <w:p w14:paraId="479AB8D8" w14:textId="77777777" w:rsidR="00995E77" w:rsidRPr="002A6A60" w:rsidRDefault="00995E77" w:rsidP="002F7D34">
            <w:pPr>
              <w:spacing w:line="252" w:lineRule="auto"/>
              <w:rPr>
                <w:color w:val="000000" w:themeColor="text1"/>
                <w:szCs w:val="24"/>
              </w:rPr>
            </w:pPr>
            <w:r w:rsidRPr="002A6A60">
              <w:rPr>
                <w:color w:val="000000" w:themeColor="text1"/>
              </w:rPr>
              <w:t xml:space="preserve">Finansiniai veiklos efektyvumo rodikliai </w:t>
            </w:r>
          </w:p>
        </w:tc>
        <w:tc>
          <w:tcPr>
            <w:tcW w:w="4253" w:type="dxa"/>
            <w:tcBorders>
              <w:top w:val="single" w:sz="8" w:space="0" w:color="000000"/>
              <w:left w:val="nil"/>
              <w:bottom w:val="single" w:sz="8" w:space="0" w:color="000000"/>
              <w:right w:val="single" w:sz="8" w:space="0" w:color="000000"/>
            </w:tcBorders>
            <w:tcMar>
              <w:top w:w="7" w:type="dxa"/>
              <w:left w:w="106" w:type="dxa"/>
              <w:bottom w:w="0" w:type="dxa"/>
              <w:right w:w="103" w:type="dxa"/>
            </w:tcMar>
            <w:vAlign w:val="center"/>
            <w:hideMark/>
          </w:tcPr>
          <w:p w14:paraId="15B1FE7A" w14:textId="77777777" w:rsidR="00995E77" w:rsidRPr="002A6A60" w:rsidRDefault="00995E77" w:rsidP="002F7D34">
            <w:pPr>
              <w:spacing w:line="252" w:lineRule="auto"/>
              <w:ind w:right="7"/>
              <w:jc w:val="center"/>
              <w:rPr>
                <w:color w:val="000000" w:themeColor="text1"/>
                <w:szCs w:val="24"/>
              </w:rPr>
            </w:pPr>
            <w:r w:rsidRPr="002A6A60">
              <w:rPr>
                <w:color w:val="000000" w:themeColor="text1"/>
              </w:rPr>
              <w:t xml:space="preserve">Rodiklio reikšmė </w:t>
            </w:r>
          </w:p>
        </w:tc>
      </w:tr>
      <w:tr w:rsidR="00995E77" w:rsidRPr="00995E77" w14:paraId="0CCEDE7D" w14:textId="77777777" w:rsidTr="002F7D34">
        <w:trPr>
          <w:trHeight w:val="264"/>
        </w:trPr>
        <w:tc>
          <w:tcPr>
            <w:tcW w:w="567" w:type="dxa"/>
            <w:tcBorders>
              <w:top w:val="nil"/>
              <w:left w:val="single" w:sz="8" w:space="0" w:color="000000"/>
              <w:bottom w:val="single" w:sz="8" w:space="0" w:color="000000"/>
              <w:right w:val="single" w:sz="8" w:space="0" w:color="000000"/>
            </w:tcBorders>
            <w:tcMar>
              <w:top w:w="7" w:type="dxa"/>
              <w:left w:w="106" w:type="dxa"/>
              <w:bottom w:w="0" w:type="dxa"/>
              <w:right w:w="103" w:type="dxa"/>
            </w:tcMar>
            <w:hideMark/>
          </w:tcPr>
          <w:p w14:paraId="05283BED" w14:textId="77777777" w:rsidR="00995E77" w:rsidRPr="00995E77" w:rsidRDefault="00995E77" w:rsidP="002F7D34">
            <w:pPr>
              <w:spacing w:line="252" w:lineRule="auto"/>
              <w:ind w:left="2"/>
              <w:rPr>
                <w:szCs w:val="24"/>
              </w:rPr>
            </w:pPr>
            <w:r w:rsidRPr="00995E77">
              <w:t xml:space="preserve">1. </w:t>
            </w:r>
          </w:p>
        </w:tc>
        <w:tc>
          <w:tcPr>
            <w:tcW w:w="4678" w:type="dxa"/>
            <w:tcBorders>
              <w:top w:val="nil"/>
              <w:left w:val="nil"/>
              <w:bottom w:val="single" w:sz="8" w:space="0" w:color="000000"/>
              <w:right w:val="single" w:sz="8" w:space="0" w:color="000000"/>
            </w:tcBorders>
            <w:tcMar>
              <w:top w:w="7" w:type="dxa"/>
              <w:left w:w="106" w:type="dxa"/>
              <w:bottom w:w="0" w:type="dxa"/>
              <w:right w:w="103" w:type="dxa"/>
            </w:tcMar>
            <w:hideMark/>
          </w:tcPr>
          <w:p w14:paraId="738FB4E2" w14:textId="77777777" w:rsidR="00995E77" w:rsidRPr="002A6A60" w:rsidRDefault="00995E77" w:rsidP="002F7D34">
            <w:pPr>
              <w:spacing w:line="252" w:lineRule="auto"/>
              <w:rPr>
                <w:color w:val="000000" w:themeColor="text1"/>
                <w:szCs w:val="24"/>
              </w:rPr>
            </w:pPr>
            <w:r w:rsidRPr="002A6A60">
              <w:rPr>
                <w:color w:val="000000" w:themeColor="text1"/>
              </w:rPr>
              <w:t xml:space="preserve">Grynasis pelningumas </w:t>
            </w:r>
          </w:p>
        </w:tc>
        <w:tc>
          <w:tcPr>
            <w:tcW w:w="4253" w:type="dxa"/>
            <w:tcBorders>
              <w:top w:val="nil"/>
              <w:left w:val="nil"/>
              <w:bottom w:val="single" w:sz="8" w:space="0" w:color="000000"/>
              <w:right w:val="single" w:sz="8" w:space="0" w:color="000000"/>
            </w:tcBorders>
            <w:tcMar>
              <w:top w:w="7" w:type="dxa"/>
              <w:left w:w="106" w:type="dxa"/>
              <w:bottom w:w="0" w:type="dxa"/>
              <w:right w:w="103" w:type="dxa"/>
            </w:tcMar>
            <w:hideMark/>
          </w:tcPr>
          <w:p w14:paraId="6B1B2E5F" w14:textId="77777777" w:rsidR="00995E77" w:rsidRPr="002A6A60" w:rsidRDefault="00995E77" w:rsidP="002F7D34">
            <w:pPr>
              <w:spacing w:line="252" w:lineRule="auto"/>
              <w:ind w:right="1"/>
              <w:jc w:val="center"/>
              <w:rPr>
                <w:color w:val="000000" w:themeColor="text1"/>
                <w:szCs w:val="24"/>
              </w:rPr>
            </w:pPr>
            <w:r w:rsidRPr="002A6A60">
              <w:rPr>
                <w:color w:val="000000" w:themeColor="text1"/>
              </w:rPr>
              <w:t xml:space="preserve">teigiamas </w:t>
            </w:r>
          </w:p>
        </w:tc>
      </w:tr>
      <w:tr w:rsidR="00995E77" w:rsidRPr="00995E77" w14:paraId="38F941AD" w14:textId="77777777" w:rsidTr="002F7D34">
        <w:trPr>
          <w:trHeight w:val="264"/>
        </w:trPr>
        <w:tc>
          <w:tcPr>
            <w:tcW w:w="567" w:type="dxa"/>
            <w:tcBorders>
              <w:top w:val="nil"/>
              <w:left w:val="single" w:sz="8" w:space="0" w:color="000000"/>
              <w:bottom w:val="single" w:sz="8" w:space="0" w:color="000000"/>
              <w:right w:val="single" w:sz="8" w:space="0" w:color="000000"/>
            </w:tcBorders>
            <w:tcMar>
              <w:top w:w="7" w:type="dxa"/>
              <w:left w:w="106" w:type="dxa"/>
              <w:bottom w:w="0" w:type="dxa"/>
              <w:right w:w="103" w:type="dxa"/>
            </w:tcMar>
            <w:hideMark/>
          </w:tcPr>
          <w:p w14:paraId="773A0B24" w14:textId="77777777" w:rsidR="00995E77" w:rsidRPr="00995E77" w:rsidRDefault="00995E77" w:rsidP="002F7D34">
            <w:pPr>
              <w:spacing w:line="252" w:lineRule="auto"/>
              <w:ind w:left="2"/>
              <w:rPr>
                <w:szCs w:val="24"/>
              </w:rPr>
            </w:pPr>
            <w:r w:rsidRPr="00995E77">
              <w:t xml:space="preserve">2. </w:t>
            </w:r>
          </w:p>
        </w:tc>
        <w:tc>
          <w:tcPr>
            <w:tcW w:w="4678" w:type="dxa"/>
            <w:tcBorders>
              <w:top w:val="nil"/>
              <w:left w:val="nil"/>
              <w:bottom w:val="single" w:sz="8" w:space="0" w:color="000000"/>
              <w:right w:val="single" w:sz="8" w:space="0" w:color="000000"/>
            </w:tcBorders>
            <w:tcMar>
              <w:top w:w="7" w:type="dxa"/>
              <w:left w:w="106" w:type="dxa"/>
              <w:bottom w:w="0" w:type="dxa"/>
              <w:right w:w="103" w:type="dxa"/>
            </w:tcMar>
            <w:hideMark/>
          </w:tcPr>
          <w:p w14:paraId="08CA6AF4" w14:textId="77777777" w:rsidR="00995E77" w:rsidRPr="002A6A60" w:rsidRDefault="00995E77" w:rsidP="002F7D34">
            <w:pPr>
              <w:spacing w:line="252" w:lineRule="auto"/>
              <w:rPr>
                <w:color w:val="000000" w:themeColor="text1"/>
                <w:szCs w:val="24"/>
              </w:rPr>
            </w:pPr>
            <w:r w:rsidRPr="002A6A60">
              <w:rPr>
                <w:color w:val="000000" w:themeColor="text1"/>
              </w:rPr>
              <w:t xml:space="preserve">Nuosavo kapitalo grąža (ROE) </w:t>
            </w:r>
          </w:p>
        </w:tc>
        <w:tc>
          <w:tcPr>
            <w:tcW w:w="4253" w:type="dxa"/>
            <w:tcBorders>
              <w:top w:val="nil"/>
              <w:left w:val="nil"/>
              <w:bottom w:val="single" w:sz="8" w:space="0" w:color="000000"/>
              <w:right w:val="single" w:sz="8" w:space="0" w:color="000000"/>
            </w:tcBorders>
            <w:tcMar>
              <w:top w:w="7" w:type="dxa"/>
              <w:left w:w="106" w:type="dxa"/>
              <w:bottom w:w="0" w:type="dxa"/>
              <w:right w:w="103" w:type="dxa"/>
            </w:tcMar>
            <w:hideMark/>
          </w:tcPr>
          <w:p w14:paraId="5875C451" w14:textId="77777777" w:rsidR="00995E77" w:rsidRPr="002A6A60" w:rsidRDefault="00995E77" w:rsidP="002F7D34">
            <w:pPr>
              <w:spacing w:line="252" w:lineRule="auto"/>
              <w:ind w:right="3"/>
              <w:jc w:val="center"/>
              <w:rPr>
                <w:color w:val="000000" w:themeColor="text1"/>
                <w:szCs w:val="24"/>
              </w:rPr>
            </w:pPr>
            <w:r w:rsidRPr="002A6A60">
              <w:rPr>
                <w:color w:val="000000" w:themeColor="text1"/>
              </w:rPr>
              <w:t xml:space="preserve">ne mažiau kaip 1 proc. </w:t>
            </w:r>
          </w:p>
        </w:tc>
      </w:tr>
      <w:tr w:rsidR="00995E77" w:rsidRPr="00995E77" w14:paraId="3CB02119" w14:textId="77777777" w:rsidTr="002F7D34">
        <w:trPr>
          <w:trHeight w:val="262"/>
        </w:trPr>
        <w:tc>
          <w:tcPr>
            <w:tcW w:w="567" w:type="dxa"/>
            <w:tcBorders>
              <w:top w:val="nil"/>
              <w:left w:val="single" w:sz="8" w:space="0" w:color="000000"/>
              <w:bottom w:val="single" w:sz="8" w:space="0" w:color="000000"/>
              <w:right w:val="single" w:sz="8" w:space="0" w:color="000000"/>
            </w:tcBorders>
            <w:tcMar>
              <w:top w:w="7" w:type="dxa"/>
              <w:left w:w="106" w:type="dxa"/>
              <w:bottom w:w="0" w:type="dxa"/>
              <w:right w:w="103" w:type="dxa"/>
            </w:tcMar>
            <w:hideMark/>
          </w:tcPr>
          <w:p w14:paraId="4D59530D" w14:textId="77777777" w:rsidR="00995E77" w:rsidRPr="00995E77" w:rsidRDefault="00995E77" w:rsidP="002F7D34">
            <w:pPr>
              <w:spacing w:line="252" w:lineRule="auto"/>
              <w:ind w:left="2"/>
              <w:rPr>
                <w:szCs w:val="24"/>
              </w:rPr>
            </w:pPr>
            <w:r w:rsidRPr="00995E77">
              <w:t xml:space="preserve">3. </w:t>
            </w:r>
          </w:p>
        </w:tc>
        <w:tc>
          <w:tcPr>
            <w:tcW w:w="4678" w:type="dxa"/>
            <w:tcBorders>
              <w:top w:val="nil"/>
              <w:left w:val="nil"/>
              <w:bottom w:val="single" w:sz="8" w:space="0" w:color="000000"/>
              <w:right w:val="single" w:sz="8" w:space="0" w:color="000000"/>
            </w:tcBorders>
            <w:tcMar>
              <w:top w:w="7" w:type="dxa"/>
              <w:left w:w="106" w:type="dxa"/>
              <w:bottom w:w="0" w:type="dxa"/>
              <w:right w:w="103" w:type="dxa"/>
            </w:tcMar>
            <w:hideMark/>
          </w:tcPr>
          <w:p w14:paraId="76D40551" w14:textId="77777777" w:rsidR="00995E77" w:rsidRPr="002A6A60" w:rsidRDefault="00995E77" w:rsidP="002F7D34">
            <w:pPr>
              <w:spacing w:line="252" w:lineRule="auto"/>
              <w:rPr>
                <w:color w:val="000000" w:themeColor="text1"/>
                <w:szCs w:val="24"/>
              </w:rPr>
            </w:pPr>
            <w:r w:rsidRPr="002A6A60">
              <w:rPr>
                <w:color w:val="000000" w:themeColor="text1"/>
              </w:rPr>
              <w:t xml:space="preserve">Finansinės priklausomybės koeficientas (D/E) </w:t>
            </w:r>
          </w:p>
        </w:tc>
        <w:tc>
          <w:tcPr>
            <w:tcW w:w="4253" w:type="dxa"/>
            <w:tcBorders>
              <w:top w:val="nil"/>
              <w:left w:val="nil"/>
              <w:bottom w:val="single" w:sz="8" w:space="0" w:color="000000"/>
              <w:right w:val="single" w:sz="8" w:space="0" w:color="000000"/>
            </w:tcBorders>
            <w:tcMar>
              <w:top w:w="7" w:type="dxa"/>
              <w:left w:w="106" w:type="dxa"/>
              <w:bottom w:w="0" w:type="dxa"/>
              <w:right w:w="103" w:type="dxa"/>
            </w:tcMar>
            <w:hideMark/>
          </w:tcPr>
          <w:p w14:paraId="3EDCEE56" w14:textId="77777777" w:rsidR="00995E77" w:rsidRPr="002A6A60" w:rsidRDefault="00995E77" w:rsidP="002F7D34">
            <w:pPr>
              <w:spacing w:line="252" w:lineRule="auto"/>
              <w:ind w:right="3"/>
              <w:jc w:val="center"/>
              <w:rPr>
                <w:color w:val="000000" w:themeColor="text1"/>
                <w:szCs w:val="24"/>
              </w:rPr>
            </w:pPr>
            <w:r w:rsidRPr="002A6A60">
              <w:rPr>
                <w:color w:val="000000" w:themeColor="text1"/>
              </w:rPr>
              <w:t xml:space="preserve">ne daugiau nei 0,8 </w:t>
            </w:r>
          </w:p>
        </w:tc>
      </w:tr>
    </w:tbl>
    <w:p w14:paraId="4BF29D57" w14:textId="77777777" w:rsidR="00995E77" w:rsidRPr="00995E77" w:rsidRDefault="00995E77" w:rsidP="00995E77">
      <w:pPr>
        <w:pStyle w:val="Betarp"/>
        <w:tabs>
          <w:tab w:val="left" w:pos="851"/>
        </w:tabs>
        <w:ind w:firstLine="567"/>
        <w:jc w:val="both"/>
        <w:rPr>
          <w:rFonts w:ascii="Times New Roman" w:hAnsi="Times New Roman"/>
          <w:sz w:val="24"/>
          <w:szCs w:val="24"/>
        </w:rPr>
      </w:pPr>
    </w:p>
    <w:p w14:paraId="469291C8" w14:textId="77777777" w:rsidR="00CF1540" w:rsidRPr="003222BA" w:rsidRDefault="00CF1540" w:rsidP="00604082">
      <w:pPr>
        <w:pStyle w:val="Betarp"/>
        <w:tabs>
          <w:tab w:val="left" w:pos="851"/>
        </w:tabs>
        <w:ind w:firstLine="567"/>
        <w:jc w:val="both"/>
        <w:rPr>
          <w:rFonts w:ascii="Times New Roman" w:hAnsi="Times New Roman"/>
          <w:sz w:val="24"/>
          <w:szCs w:val="24"/>
        </w:rPr>
      </w:pPr>
    </w:p>
    <w:p w14:paraId="3DAED90C" w14:textId="77777777" w:rsidR="00604082" w:rsidRPr="003222BA" w:rsidRDefault="00604082" w:rsidP="00604082">
      <w:pPr>
        <w:pStyle w:val="Betarp"/>
        <w:tabs>
          <w:tab w:val="left" w:pos="851"/>
        </w:tabs>
        <w:ind w:firstLine="5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_______________________________________________</w:t>
      </w:r>
    </w:p>
    <w:p w14:paraId="77C9860F" w14:textId="77777777" w:rsidR="00604082" w:rsidRPr="00F0140E" w:rsidRDefault="00604082" w:rsidP="00604082">
      <w:pPr>
        <w:pStyle w:val="Betarp"/>
        <w:tabs>
          <w:tab w:val="left" w:pos="851"/>
        </w:tabs>
        <w:ind w:firstLine="567"/>
        <w:jc w:val="both"/>
      </w:pPr>
    </w:p>
    <w:p w14:paraId="24C00B54" w14:textId="77777777" w:rsidR="00C11E71" w:rsidRPr="00F0140E" w:rsidRDefault="00C11E71" w:rsidP="00F76FBF">
      <w:pPr>
        <w:pStyle w:val="Betarp"/>
        <w:tabs>
          <w:tab w:val="left" w:pos="851"/>
        </w:tabs>
        <w:ind w:firstLine="567"/>
        <w:jc w:val="both"/>
      </w:pPr>
    </w:p>
    <w:sectPr w:rsidR="00C11E71" w:rsidRPr="00F0140E" w:rsidSect="008A7F26">
      <w:headerReference w:type="even" r:id="rId8"/>
      <w:headerReference w:type="default" r:id="rId9"/>
      <w:pgSz w:w="11906" w:h="16838" w:code="9"/>
      <w:pgMar w:top="1134" w:right="680" w:bottom="1134" w:left="1701" w:header="1134" w:footer="726"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3E3DD" w14:textId="77777777" w:rsidR="007C50EB" w:rsidRDefault="007C50EB">
      <w:r>
        <w:separator/>
      </w:r>
    </w:p>
  </w:endnote>
  <w:endnote w:type="continuationSeparator" w:id="0">
    <w:p w14:paraId="53E3ED66" w14:textId="77777777" w:rsidR="007C50EB" w:rsidRDefault="007C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CB5A" w14:textId="77777777" w:rsidR="007C50EB" w:rsidRDefault="007C50EB">
      <w:r>
        <w:separator/>
      </w:r>
    </w:p>
  </w:footnote>
  <w:footnote w:type="continuationSeparator" w:id="0">
    <w:p w14:paraId="6D8CC055" w14:textId="77777777" w:rsidR="007C50EB" w:rsidRDefault="007C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93AD" w14:textId="77777777" w:rsidR="00C11E71" w:rsidRDefault="00215E35">
    <w:pPr>
      <w:pStyle w:val="Antrats"/>
      <w:framePr w:wrap="around" w:vAnchor="text" w:hAnchor="margin" w:xAlign="center" w:y="1"/>
      <w:rPr>
        <w:rStyle w:val="Puslapionumeris"/>
      </w:rPr>
    </w:pPr>
    <w:r>
      <w:rPr>
        <w:rStyle w:val="Puslapionumeris"/>
      </w:rPr>
      <w:fldChar w:fldCharType="begin"/>
    </w:r>
    <w:r w:rsidR="00E60B8A">
      <w:rPr>
        <w:rStyle w:val="Puslapionumeris"/>
      </w:rPr>
      <w:instrText xml:space="preserve">PAGE  </w:instrText>
    </w:r>
    <w:r>
      <w:rPr>
        <w:rStyle w:val="Puslapionumeris"/>
      </w:rPr>
      <w:fldChar w:fldCharType="end"/>
    </w:r>
  </w:p>
  <w:p w14:paraId="207225AC" w14:textId="77777777" w:rsidR="00C11E71" w:rsidRDefault="00C11E7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19C4" w14:textId="77777777" w:rsidR="00C11E71" w:rsidRDefault="00C11E71">
    <w:pPr>
      <w:pStyle w:val="Antrats"/>
      <w:framePr w:wrap="around" w:vAnchor="text" w:hAnchor="margin" w:xAlign="center" w:y="1"/>
      <w:rPr>
        <w:rStyle w:val="Puslapionumeris"/>
      </w:rPr>
    </w:pPr>
  </w:p>
  <w:p w14:paraId="33441A58" w14:textId="77777777" w:rsidR="00C11E71" w:rsidRDefault="00C11E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2DC7"/>
    <w:multiLevelType w:val="hybridMultilevel"/>
    <w:tmpl w:val="BAE4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F1B78"/>
    <w:multiLevelType w:val="hybridMultilevel"/>
    <w:tmpl w:val="05480518"/>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80B28"/>
    <w:multiLevelType w:val="hybridMultilevel"/>
    <w:tmpl w:val="96AAA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6807CD"/>
    <w:multiLevelType w:val="hybridMultilevel"/>
    <w:tmpl w:val="E0E8E7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2F34415"/>
    <w:multiLevelType w:val="multilevel"/>
    <w:tmpl w:val="C67AC368"/>
    <w:lvl w:ilvl="0">
      <w:start w:val="1"/>
      <w:numFmt w:val="decimal"/>
      <w:lvlText w:val="%1."/>
      <w:lvlJc w:val="left"/>
      <w:pPr>
        <w:ind w:left="1721" w:hanging="315"/>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61" w:hanging="456"/>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720" w:hanging="456"/>
      </w:pPr>
      <w:rPr>
        <w:rFonts w:hint="default"/>
        <w:lang w:val="lt-LT" w:eastAsia="en-US" w:bidi="ar-SA"/>
      </w:rPr>
    </w:lvl>
    <w:lvl w:ilvl="3">
      <w:numFmt w:val="bullet"/>
      <w:lvlText w:val="•"/>
      <w:lvlJc w:val="left"/>
      <w:pPr>
        <w:ind w:left="2587" w:hanging="456"/>
      </w:pPr>
      <w:rPr>
        <w:rFonts w:hint="default"/>
        <w:lang w:val="lt-LT" w:eastAsia="en-US" w:bidi="ar-SA"/>
      </w:rPr>
    </w:lvl>
    <w:lvl w:ilvl="4">
      <w:numFmt w:val="bullet"/>
      <w:lvlText w:val="•"/>
      <w:lvlJc w:val="left"/>
      <w:pPr>
        <w:ind w:left="3455" w:hanging="456"/>
      </w:pPr>
      <w:rPr>
        <w:rFonts w:hint="default"/>
        <w:lang w:val="lt-LT" w:eastAsia="en-US" w:bidi="ar-SA"/>
      </w:rPr>
    </w:lvl>
    <w:lvl w:ilvl="5">
      <w:numFmt w:val="bullet"/>
      <w:lvlText w:val="•"/>
      <w:lvlJc w:val="left"/>
      <w:pPr>
        <w:ind w:left="4322" w:hanging="456"/>
      </w:pPr>
      <w:rPr>
        <w:rFonts w:hint="default"/>
        <w:lang w:val="lt-LT" w:eastAsia="en-US" w:bidi="ar-SA"/>
      </w:rPr>
    </w:lvl>
    <w:lvl w:ilvl="6">
      <w:numFmt w:val="bullet"/>
      <w:lvlText w:val="•"/>
      <w:lvlJc w:val="left"/>
      <w:pPr>
        <w:ind w:left="5190" w:hanging="456"/>
      </w:pPr>
      <w:rPr>
        <w:rFonts w:hint="default"/>
        <w:lang w:val="lt-LT" w:eastAsia="en-US" w:bidi="ar-SA"/>
      </w:rPr>
    </w:lvl>
    <w:lvl w:ilvl="7">
      <w:numFmt w:val="bullet"/>
      <w:lvlText w:val="•"/>
      <w:lvlJc w:val="left"/>
      <w:pPr>
        <w:ind w:left="6058" w:hanging="456"/>
      </w:pPr>
      <w:rPr>
        <w:rFonts w:hint="default"/>
        <w:lang w:val="lt-LT" w:eastAsia="en-US" w:bidi="ar-SA"/>
      </w:rPr>
    </w:lvl>
    <w:lvl w:ilvl="8">
      <w:numFmt w:val="bullet"/>
      <w:lvlText w:val="•"/>
      <w:lvlJc w:val="left"/>
      <w:pPr>
        <w:ind w:left="6925" w:hanging="456"/>
      </w:pPr>
      <w:rPr>
        <w:rFonts w:hint="default"/>
        <w:lang w:val="lt-LT" w:eastAsia="en-US" w:bidi="ar-SA"/>
      </w:rPr>
    </w:lvl>
  </w:abstractNum>
  <w:abstractNum w:abstractNumId="5" w15:restartNumberingAfterBreak="0">
    <w:nsid w:val="3EC00869"/>
    <w:multiLevelType w:val="hybridMultilevel"/>
    <w:tmpl w:val="E68E8648"/>
    <w:lvl w:ilvl="0" w:tplc="CC3C9D7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27350C1"/>
    <w:multiLevelType w:val="hybridMultilevel"/>
    <w:tmpl w:val="D452F296"/>
    <w:lvl w:ilvl="0" w:tplc="AFB2F00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52B230F0"/>
    <w:multiLevelType w:val="hybridMultilevel"/>
    <w:tmpl w:val="B52CE0AE"/>
    <w:lvl w:ilvl="0" w:tplc="AC3057EE">
      <w:start w:val="1"/>
      <w:numFmt w:val="bullet"/>
      <w:lvlText w:val=""/>
      <w:lvlJc w:val="left"/>
      <w:pPr>
        <w:ind w:left="2484" w:hanging="1350"/>
      </w:pPr>
      <w:rPr>
        <w:rFonts w:ascii="Symbol" w:hAnsi="Symbol"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9" w15:restartNumberingAfterBreak="0">
    <w:nsid w:val="5F54540E"/>
    <w:multiLevelType w:val="hybridMultilevel"/>
    <w:tmpl w:val="D11814CC"/>
    <w:lvl w:ilvl="0" w:tplc="8E0CE02E">
      <w:start w:val="1"/>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60124D25"/>
    <w:multiLevelType w:val="hybridMultilevel"/>
    <w:tmpl w:val="9FD06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C90E3C"/>
    <w:multiLevelType w:val="hybridMultilevel"/>
    <w:tmpl w:val="B0B6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261F75"/>
    <w:multiLevelType w:val="hybridMultilevel"/>
    <w:tmpl w:val="3E70C44C"/>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16cid:durableId="728454939">
    <w:abstractNumId w:val="6"/>
  </w:num>
  <w:num w:numId="2" w16cid:durableId="2000618589">
    <w:abstractNumId w:val="2"/>
  </w:num>
  <w:num w:numId="3" w16cid:durableId="1638411902">
    <w:abstractNumId w:val="10"/>
  </w:num>
  <w:num w:numId="4" w16cid:durableId="663053806">
    <w:abstractNumId w:val="1"/>
  </w:num>
  <w:num w:numId="5" w16cid:durableId="1942028554">
    <w:abstractNumId w:val="12"/>
  </w:num>
  <w:num w:numId="6" w16cid:durableId="274404366">
    <w:abstractNumId w:val="11"/>
  </w:num>
  <w:num w:numId="7" w16cid:durableId="8798511">
    <w:abstractNumId w:val="0"/>
  </w:num>
  <w:num w:numId="8" w16cid:durableId="1115323654">
    <w:abstractNumId w:val="8"/>
  </w:num>
  <w:num w:numId="9" w16cid:durableId="1238396814">
    <w:abstractNumId w:val="9"/>
  </w:num>
  <w:num w:numId="10" w16cid:durableId="1674452890">
    <w:abstractNumId w:val="7"/>
  </w:num>
  <w:num w:numId="11" w16cid:durableId="1696465355">
    <w:abstractNumId w:val="4"/>
  </w:num>
  <w:num w:numId="12" w16cid:durableId="997415348">
    <w:abstractNumId w:val="3"/>
  </w:num>
  <w:num w:numId="13" w16cid:durableId="1124034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396"/>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71"/>
    <w:rsid w:val="00006152"/>
    <w:rsid w:val="00024A23"/>
    <w:rsid w:val="0002700B"/>
    <w:rsid w:val="00033156"/>
    <w:rsid w:val="000565D9"/>
    <w:rsid w:val="0009753A"/>
    <w:rsid w:val="000B67D1"/>
    <w:rsid w:val="000E23D7"/>
    <w:rsid w:val="000F0E41"/>
    <w:rsid w:val="001269AA"/>
    <w:rsid w:val="00163B4B"/>
    <w:rsid w:val="00175E53"/>
    <w:rsid w:val="00175FAE"/>
    <w:rsid w:val="00177CDC"/>
    <w:rsid w:val="00186F8D"/>
    <w:rsid w:val="001F2240"/>
    <w:rsid w:val="00215E35"/>
    <w:rsid w:val="002832CE"/>
    <w:rsid w:val="002A6A60"/>
    <w:rsid w:val="002D5BED"/>
    <w:rsid w:val="0045039B"/>
    <w:rsid w:val="004A3EC1"/>
    <w:rsid w:val="004D1A67"/>
    <w:rsid w:val="004F020C"/>
    <w:rsid w:val="00505952"/>
    <w:rsid w:val="00510352"/>
    <w:rsid w:val="0059177B"/>
    <w:rsid w:val="00604082"/>
    <w:rsid w:val="006A047D"/>
    <w:rsid w:val="006B2A33"/>
    <w:rsid w:val="006F37EC"/>
    <w:rsid w:val="00731F44"/>
    <w:rsid w:val="007C50EB"/>
    <w:rsid w:val="007D6987"/>
    <w:rsid w:val="00863BEE"/>
    <w:rsid w:val="008741CD"/>
    <w:rsid w:val="00883714"/>
    <w:rsid w:val="00897EC5"/>
    <w:rsid w:val="008A7F26"/>
    <w:rsid w:val="008B3D4A"/>
    <w:rsid w:val="008D1F0E"/>
    <w:rsid w:val="008F010B"/>
    <w:rsid w:val="00953BEF"/>
    <w:rsid w:val="00995E77"/>
    <w:rsid w:val="009A28F4"/>
    <w:rsid w:val="009D2DCB"/>
    <w:rsid w:val="009F2D64"/>
    <w:rsid w:val="00A7444F"/>
    <w:rsid w:val="00B038E5"/>
    <w:rsid w:val="00B44255"/>
    <w:rsid w:val="00B7682B"/>
    <w:rsid w:val="00BE40BF"/>
    <w:rsid w:val="00C01ED7"/>
    <w:rsid w:val="00C11E71"/>
    <w:rsid w:val="00CE7A9E"/>
    <w:rsid w:val="00CF1540"/>
    <w:rsid w:val="00D4313A"/>
    <w:rsid w:val="00D456A6"/>
    <w:rsid w:val="00D543E8"/>
    <w:rsid w:val="00D87053"/>
    <w:rsid w:val="00DC1795"/>
    <w:rsid w:val="00E60B8A"/>
    <w:rsid w:val="00E751E0"/>
    <w:rsid w:val="00EA3086"/>
    <w:rsid w:val="00EB4436"/>
    <w:rsid w:val="00F0140E"/>
    <w:rsid w:val="00F37958"/>
    <w:rsid w:val="00F60C48"/>
    <w:rsid w:val="00F76FBF"/>
    <w:rsid w:val="00F93DDC"/>
    <w:rsid w:val="00FA18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F612"/>
  <w15:docId w15:val="{86E64997-5761-450B-B03B-41BC6261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prastasis">
    <w:name w:val="Normal"/>
    <w:qFormat/>
    <w:rsid w:val="00163B4B"/>
    <w:rPr>
      <w:sz w:val="24"/>
    </w:rPr>
  </w:style>
  <w:style w:type="paragraph" w:styleId="Antrat1">
    <w:name w:val="heading 1"/>
    <w:basedOn w:val="prastasis"/>
    <w:next w:val="prastasis"/>
    <w:link w:val="Antrat1Diagrama"/>
    <w:qFormat/>
    <w:rsid w:val="00C11E71"/>
    <w:pPr>
      <w:keepNext/>
      <w:jc w:val="center"/>
      <w:outlineLvl w:val="0"/>
    </w:pPr>
    <w:rPr>
      <w:b/>
      <w:lang w:val="en-US"/>
    </w:rPr>
  </w:style>
  <w:style w:type="paragraph" w:styleId="Antrat3">
    <w:name w:val="heading 3"/>
    <w:basedOn w:val="prastasis"/>
    <w:next w:val="prastasis"/>
    <w:qFormat/>
    <w:rsid w:val="00C11E71"/>
    <w:pPr>
      <w:keepNext/>
      <w:jc w:val="center"/>
      <w:outlineLvl w:val="2"/>
    </w:pPr>
    <w:rPr>
      <w:b/>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C11E71"/>
    <w:pPr>
      <w:tabs>
        <w:tab w:val="center" w:pos="4153"/>
        <w:tab w:val="right" w:pos="8306"/>
      </w:tabs>
    </w:pPr>
  </w:style>
  <w:style w:type="paragraph" w:styleId="Porat">
    <w:name w:val="footer"/>
    <w:basedOn w:val="prastasis"/>
    <w:rsid w:val="00C11E71"/>
    <w:pPr>
      <w:tabs>
        <w:tab w:val="center" w:pos="4153"/>
        <w:tab w:val="right" w:pos="8306"/>
      </w:tabs>
    </w:pPr>
  </w:style>
  <w:style w:type="character" w:styleId="Hipersaitas">
    <w:name w:val="Hyperlink"/>
    <w:rsid w:val="00C11E71"/>
    <w:rPr>
      <w:color w:val="auto"/>
      <w:u w:val="none"/>
    </w:rPr>
  </w:style>
  <w:style w:type="character" w:styleId="Puslapionumeris">
    <w:name w:val="page number"/>
    <w:basedOn w:val="Numatytasispastraiposriftas"/>
    <w:rsid w:val="00C11E71"/>
  </w:style>
  <w:style w:type="paragraph" w:styleId="Pagrindiniotekstotrauka">
    <w:name w:val="Body Text Indent"/>
    <w:basedOn w:val="prastasis"/>
    <w:rsid w:val="00C11E71"/>
    <w:pPr>
      <w:ind w:firstLine="851"/>
    </w:pPr>
  </w:style>
  <w:style w:type="paragraph" w:styleId="Pagrindinistekstas">
    <w:name w:val="Body Text"/>
    <w:basedOn w:val="prastasis"/>
    <w:link w:val="PagrindinistekstasDiagrama"/>
    <w:rsid w:val="00C11E71"/>
    <w:pPr>
      <w:jc w:val="both"/>
    </w:pPr>
  </w:style>
  <w:style w:type="paragraph" w:styleId="Pavadinimas">
    <w:name w:val="Title"/>
    <w:basedOn w:val="prastasis"/>
    <w:qFormat/>
    <w:rsid w:val="00C11E71"/>
    <w:pPr>
      <w:jc w:val="center"/>
    </w:pPr>
    <w:rPr>
      <w:b/>
      <w:bCs/>
      <w:szCs w:val="24"/>
      <w:lang w:val="en-US"/>
    </w:rPr>
  </w:style>
  <w:style w:type="paragraph" w:styleId="Pagrindiniotekstotrauka2">
    <w:name w:val="Body Text Indent 2"/>
    <w:basedOn w:val="prastasis"/>
    <w:rsid w:val="00C11E71"/>
    <w:pPr>
      <w:spacing w:before="120" w:after="120"/>
      <w:ind w:firstLine="720"/>
      <w:jc w:val="both"/>
    </w:pPr>
    <w:rPr>
      <w:szCs w:val="24"/>
    </w:rPr>
  </w:style>
  <w:style w:type="paragraph" w:styleId="Pagrindinistekstas2">
    <w:name w:val="Body Text 2"/>
    <w:basedOn w:val="prastasis"/>
    <w:rsid w:val="00C11E71"/>
    <w:pPr>
      <w:jc w:val="both"/>
    </w:pPr>
    <w:rPr>
      <w:sz w:val="22"/>
    </w:rPr>
  </w:style>
  <w:style w:type="paragraph" w:styleId="Sraopastraipa">
    <w:name w:val="List Paragraph"/>
    <w:basedOn w:val="prastasis"/>
    <w:uiPriority w:val="1"/>
    <w:qFormat/>
    <w:rsid w:val="008741CD"/>
    <w:pPr>
      <w:ind w:left="720"/>
      <w:contextualSpacing/>
    </w:pPr>
    <w:rPr>
      <w:rFonts w:ascii="TimesLT" w:hAnsi="TimesLT"/>
    </w:rPr>
  </w:style>
  <w:style w:type="paragraph" w:styleId="Betarp">
    <w:name w:val="No Spacing"/>
    <w:uiPriority w:val="1"/>
    <w:qFormat/>
    <w:rsid w:val="00F0140E"/>
    <w:rPr>
      <w:rFonts w:ascii="Calibri" w:eastAsia="Calibri" w:hAnsi="Calibri"/>
      <w:sz w:val="22"/>
      <w:szCs w:val="22"/>
      <w:lang w:eastAsia="en-US"/>
    </w:rPr>
  </w:style>
  <w:style w:type="character" w:customStyle="1" w:styleId="Antrat1Diagrama">
    <w:name w:val="Antraštė 1 Diagrama"/>
    <w:basedOn w:val="Numatytasispastraiposriftas"/>
    <w:link w:val="Antrat1"/>
    <w:rsid w:val="00D4313A"/>
    <w:rPr>
      <w:b/>
      <w:sz w:val="24"/>
      <w:lang w:val="en-US"/>
    </w:rPr>
  </w:style>
  <w:style w:type="character" w:customStyle="1" w:styleId="AntratsDiagrama">
    <w:name w:val="Antraštės Diagrama"/>
    <w:basedOn w:val="Numatytasispastraiposriftas"/>
    <w:link w:val="Antrats"/>
    <w:rsid w:val="00D4313A"/>
    <w:rPr>
      <w:sz w:val="24"/>
    </w:rPr>
  </w:style>
  <w:style w:type="character" w:styleId="Komentaronuoroda">
    <w:name w:val="annotation reference"/>
    <w:basedOn w:val="Numatytasispastraiposriftas"/>
    <w:rsid w:val="00D4313A"/>
    <w:rPr>
      <w:sz w:val="16"/>
      <w:szCs w:val="16"/>
    </w:rPr>
  </w:style>
  <w:style w:type="paragraph" w:styleId="Komentarotekstas">
    <w:name w:val="annotation text"/>
    <w:basedOn w:val="prastasis"/>
    <w:link w:val="KomentarotekstasDiagrama"/>
    <w:rsid w:val="00D4313A"/>
    <w:rPr>
      <w:sz w:val="20"/>
    </w:rPr>
  </w:style>
  <w:style w:type="character" w:customStyle="1" w:styleId="KomentarotekstasDiagrama">
    <w:name w:val="Komentaro tekstas Diagrama"/>
    <w:basedOn w:val="Numatytasispastraiposriftas"/>
    <w:link w:val="Komentarotekstas"/>
    <w:rsid w:val="00D4313A"/>
  </w:style>
  <w:style w:type="paragraph" w:customStyle="1" w:styleId="Default">
    <w:name w:val="Default"/>
    <w:rsid w:val="00F76FBF"/>
    <w:pPr>
      <w:autoSpaceDE w:val="0"/>
      <w:autoSpaceDN w:val="0"/>
      <w:adjustRightInd w:val="0"/>
    </w:pPr>
    <w:rPr>
      <w:rFonts w:eastAsia="Calibri"/>
      <w:color w:val="000000"/>
      <w:sz w:val="24"/>
      <w:szCs w:val="24"/>
    </w:rPr>
  </w:style>
  <w:style w:type="character" w:customStyle="1" w:styleId="PagrindinistekstasDiagrama">
    <w:name w:val="Pagrindinis tekstas Diagrama"/>
    <w:basedOn w:val="Numatytasispastraiposriftas"/>
    <w:link w:val="Pagrindinistekstas"/>
    <w:rsid w:val="006040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45708">
      <w:bodyDiv w:val="1"/>
      <w:marLeft w:val="0"/>
      <w:marRight w:val="0"/>
      <w:marTop w:val="0"/>
      <w:marBottom w:val="0"/>
      <w:divBdr>
        <w:top w:val="none" w:sz="0" w:space="0" w:color="auto"/>
        <w:left w:val="none" w:sz="0" w:space="0" w:color="auto"/>
        <w:bottom w:val="none" w:sz="0" w:space="0" w:color="auto"/>
        <w:right w:val="none" w:sz="0" w:space="0" w:color="auto"/>
      </w:divBdr>
    </w:div>
    <w:div w:id="490831678">
      <w:bodyDiv w:val="1"/>
      <w:marLeft w:val="0"/>
      <w:marRight w:val="0"/>
      <w:marTop w:val="0"/>
      <w:marBottom w:val="0"/>
      <w:divBdr>
        <w:top w:val="none" w:sz="0" w:space="0" w:color="auto"/>
        <w:left w:val="none" w:sz="0" w:space="0" w:color="auto"/>
        <w:bottom w:val="none" w:sz="0" w:space="0" w:color="auto"/>
        <w:right w:val="none" w:sz="0" w:space="0" w:color="auto"/>
      </w:divBdr>
    </w:div>
    <w:div w:id="879123893">
      <w:bodyDiv w:val="1"/>
      <w:marLeft w:val="0"/>
      <w:marRight w:val="0"/>
      <w:marTop w:val="0"/>
      <w:marBottom w:val="0"/>
      <w:divBdr>
        <w:top w:val="none" w:sz="0" w:space="0" w:color="auto"/>
        <w:left w:val="none" w:sz="0" w:space="0" w:color="auto"/>
        <w:bottom w:val="none" w:sz="0" w:space="0" w:color="auto"/>
        <w:right w:val="none" w:sz="0" w:space="0" w:color="auto"/>
      </w:divBdr>
    </w:div>
    <w:div w:id="151364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t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atsakymas</Template>
  <TotalTime>1</TotalTime>
  <Pages>5</Pages>
  <Words>8789</Words>
  <Characters>5010</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Del</vt:lpstr>
    </vt:vector>
  </TitlesOfParts>
  <Company>Sveikatos apsaugos ministerija</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dc:title>
  <dc:creator>Egle</dc:creator>
  <cp:lastModifiedBy>Vaidotas Tamulis</cp:lastModifiedBy>
  <cp:revision>4</cp:revision>
  <cp:lastPrinted>2004-06-03T13:25:00Z</cp:lastPrinted>
  <dcterms:created xsi:type="dcterms:W3CDTF">2025-04-22T08:08:00Z</dcterms:created>
  <dcterms:modified xsi:type="dcterms:W3CDTF">2025-04-22T12:03:00Z</dcterms:modified>
</cp:coreProperties>
</file>